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CD94B24" w:rsidR="00A209D6" w:rsidRPr="007438C6" w:rsidRDefault="00A209D6" w:rsidP="00D52BE2">
      <w:pPr>
        <w:pStyle w:val="Header"/>
        <w:tabs>
          <w:tab w:val="right" w:pos="9639"/>
        </w:tabs>
        <w:jc w:val="both"/>
        <w:rPr>
          <w:bCs/>
          <w:i/>
          <w:noProof w:val="0"/>
          <w:sz w:val="24"/>
          <w:szCs w:val="24"/>
        </w:rPr>
      </w:pPr>
      <w:r w:rsidRPr="007438C6">
        <w:rPr>
          <w:bCs/>
          <w:noProof w:val="0"/>
          <w:sz w:val="24"/>
          <w:szCs w:val="24"/>
        </w:rPr>
        <w:t>3GPP TSG-RAN WG2 Meeting #</w:t>
      </w:r>
      <w:r w:rsidR="0036459E" w:rsidRPr="007438C6">
        <w:rPr>
          <w:bCs/>
          <w:noProof w:val="0"/>
          <w:sz w:val="24"/>
          <w:szCs w:val="24"/>
        </w:rPr>
        <w:t>1</w:t>
      </w:r>
      <w:r w:rsidR="008B54E8" w:rsidRPr="007438C6">
        <w:rPr>
          <w:bCs/>
          <w:noProof w:val="0"/>
          <w:sz w:val="24"/>
          <w:szCs w:val="24"/>
        </w:rPr>
        <w:t>2</w:t>
      </w:r>
      <w:r w:rsidR="006E21CB">
        <w:rPr>
          <w:bCs/>
          <w:noProof w:val="0"/>
          <w:sz w:val="24"/>
          <w:szCs w:val="24"/>
        </w:rPr>
        <w:t>1</w:t>
      </w:r>
      <w:r w:rsidRPr="007438C6">
        <w:rPr>
          <w:bCs/>
          <w:noProof w:val="0"/>
          <w:sz w:val="24"/>
          <w:szCs w:val="24"/>
        </w:rPr>
        <w:tab/>
        <w:t>R2-</w:t>
      </w:r>
      <w:r w:rsidR="009376CD" w:rsidRPr="007438C6">
        <w:rPr>
          <w:bCs/>
          <w:noProof w:val="0"/>
          <w:sz w:val="24"/>
          <w:szCs w:val="24"/>
        </w:rPr>
        <w:t>2</w:t>
      </w:r>
      <w:r w:rsidR="006E21CB">
        <w:rPr>
          <w:bCs/>
          <w:noProof w:val="0"/>
          <w:sz w:val="24"/>
          <w:szCs w:val="24"/>
        </w:rPr>
        <w:t>3</w:t>
      </w:r>
      <w:r w:rsidR="003611CB">
        <w:rPr>
          <w:bCs/>
          <w:noProof w:val="0"/>
          <w:sz w:val="24"/>
          <w:szCs w:val="24"/>
        </w:rPr>
        <w:t>00476</w:t>
      </w:r>
    </w:p>
    <w:p w14:paraId="11776FA6" w14:textId="522A4825" w:rsidR="00A209D6" w:rsidRPr="007438C6" w:rsidRDefault="006E21CB" w:rsidP="00D52BE2">
      <w:pPr>
        <w:pStyle w:val="Header"/>
        <w:tabs>
          <w:tab w:val="right" w:pos="9639"/>
        </w:tabs>
        <w:jc w:val="both"/>
        <w:rPr>
          <w:rFonts w:eastAsia="SimSun"/>
          <w:bCs/>
          <w:sz w:val="24"/>
          <w:szCs w:val="24"/>
          <w:lang w:eastAsia="zh-CN"/>
        </w:rPr>
      </w:pPr>
      <w:r>
        <w:rPr>
          <w:rFonts w:eastAsia="SimSun"/>
          <w:bCs/>
          <w:sz w:val="24"/>
          <w:szCs w:val="24"/>
          <w:lang w:eastAsia="zh-CN"/>
        </w:rPr>
        <w:t>Athens</w:t>
      </w:r>
      <w:r w:rsidR="008B54E8" w:rsidRPr="007438C6">
        <w:rPr>
          <w:rFonts w:eastAsia="SimSun"/>
          <w:bCs/>
          <w:sz w:val="24"/>
          <w:szCs w:val="24"/>
          <w:lang w:eastAsia="zh-CN"/>
        </w:rPr>
        <w:t xml:space="preserve">, </w:t>
      </w:r>
      <w:r>
        <w:rPr>
          <w:rFonts w:eastAsia="SimSun"/>
          <w:bCs/>
          <w:sz w:val="24"/>
          <w:szCs w:val="24"/>
          <w:lang w:eastAsia="zh-CN"/>
        </w:rPr>
        <w:t>Greece</w:t>
      </w:r>
      <w:r w:rsidR="00A36F5F" w:rsidRPr="007438C6">
        <w:rPr>
          <w:rFonts w:eastAsia="SimSun"/>
          <w:bCs/>
          <w:sz w:val="24"/>
          <w:szCs w:val="24"/>
          <w:lang w:eastAsia="zh-CN"/>
        </w:rPr>
        <w:t xml:space="preserve">, </w:t>
      </w:r>
      <w:r>
        <w:rPr>
          <w:rFonts w:eastAsia="SimSun"/>
          <w:bCs/>
          <w:sz w:val="24"/>
          <w:szCs w:val="24"/>
          <w:lang w:eastAsia="zh-CN"/>
        </w:rPr>
        <w:t>27</w:t>
      </w:r>
      <w:r w:rsidR="00231C27" w:rsidRPr="00231C27">
        <w:rPr>
          <w:rFonts w:eastAsia="SimSun"/>
          <w:bCs/>
          <w:sz w:val="24"/>
          <w:szCs w:val="24"/>
          <w:vertAlign w:val="superscript"/>
          <w:lang w:eastAsia="zh-CN"/>
        </w:rPr>
        <w:t>th</w:t>
      </w:r>
      <w:r w:rsidR="00231C27">
        <w:rPr>
          <w:rFonts w:eastAsia="SimSun"/>
          <w:bCs/>
          <w:sz w:val="24"/>
          <w:szCs w:val="24"/>
          <w:lang w:eastAsia="zh-CN"/>
        </w:rPr>
        <w:t xml:space="preserve"> </w:t>
      </w:r>
      <w:r>
        <w:rPr>
          <w:rFonts w:eastAsia="SimSun"/>
          <w:bCs/>
          <w:sz w:val="24"/>
          <w:szCs w:val="24"/>
          <w:lang w:eastAsia="zh-CN"/>
        </w:rPr>
        <w:t xml:space="preserve">of Feb </w:t>
      </w:r>
      <w:r w:rsidR="005C7CD5" w:rsidRPr="007438C6">
        <w:rPr>
          <w:rFonts w:eastAsia="SimSun"/>
          <w:bCs/>
          <w:sz w:val="24"/>
          <w:szCs w:val="24"/>
          <w:lang w:eastAsia="zh-CN"/>
        </w:rPr>
        <w:t xml:space="preserve">– </w:t>
      </w:r>
      <w:r>
        <w:rPr>
          <w:rFonts w:eastAsia="SimSun"/>
          <w:bCs/>
          <w:sz w:val="24"/>
          <w:szCs w:val="24"/>
          <w:lang w:eastAsia="zh-CN"/>
        </w:rPr>
        <w:t>3</w:t>
      </w:r>
      <w:r w:rsidRPr="006E21CB">
        <w:rPr>
          <w:rFonts w:eastAsia="SimSun"/>
          <w:bCs/>
          <w:sz w:val="24"/>
          <w:szCs w:val="24"/>
          <w:vertAlign w:val="superscript"/>
          <w:lang w:eastAsia="zh-CN"/>
        </w:rPr>
        <w:t>rd</w:t>
      </w:r>
      <w:r>
        <w:rPr>
          <w:rFonts w:eastAsia="SimSun"/>
          <w:bCs/>
          <w:sz w:val="24"/>
          <w:szCs w:val="24"/>
          <w:lang w:eastAsia="zh-CN"/>
        </w:rPr>
        <w:t xml:space="preserve"> of Mar</w:t>
      </w:r>
      <w:r w:rsidR="005C7CD5" w:rsidRPr="007438C6">
        <w:rPr>
          <w:rFonts w:eastAsia="SimSun"/>
          <w:bCs/>
          <w:sz w:val="24"/>
          <w:szCs w:val="24"/>
          <w:lang w:eastAsia="zh-CN"/>
        </w:rPr>
        <w:t xml:space="preserve"> 202</w:t>
      </w:r>
      <w:r>
        <w:rPr>
          <w:rFonts w:eastAsia="SimSun"/>
          <w:bCs/>
          <w:sz w:val="24"/>
          <w:szCs w:val="24"/>
          <w:lang w:eastAsia="zh-CN"/>
        </w:rPr>
        <w:t>3</w:t>
      </w:r>
      <w:r w:rsidR="00A209D6" w:rsidRPr="007438C6">
        <w:rPr>
          <w:rFonts w:eastAsia="SimSun"/>
          <w:noProof w:val="0"/>
          <w:sz w:val="24"/>
          <w:szCs w:val="24"/>
          <w:lang w:eastAsia="zh-CN"/>
        </w:rPr>
        <w:tab/>
      </w:r>
      <w:r w:rsidRPr="006E21CB">
        <w:rPr>
          <w:rFonts w:eastAsia="SimSun"/>
          <w:noProof w:val="0"/>
          <w:sz w:val="16"/>
          <w:szCs w:val="16"/>
          <w:lang w:eastAsia="zh-CN"/>
        </w:rPr>
        <w:t xml:space="preserve">revision of </w:t>
      </w:r>
      <w:r w:rsidR="00343325">
        <w:rPr>
          <w:rFonts w:eastAsia="SimSun"/>
          <w:noProof w:val="0"/>
          <w:sz w:val="16"/>
          <w:szCs w:val="16"/>
          <w:lang w:eastAsia="zh-CN"/>
        </w:rPr>
        <w:t>R2-</w:t>
      </w:r>
      <w:r w:rsidR="00343325" w:rsidRPr="00343325">
        <w:rPr>
          <w:rFonts w:eastAsia="SimSun"/>
          <w:noProof w:val="0"/>
          <w:sz w:val="16"/>
          <w:szCs w:val="16"/>
          <w:lang w:eastAsia="zh-CN"/>
        </w:rPr>
        <w:t>2212260</w:t>
      </w:r>
    </w:p>
    <w:p w14:paraId="2E02E5F5" w14:textId="77777777" w:rsidR="00A209D6" w:rsidRPr="007438C6" w:rsidRDefault="00A209D6" w:rsidP="00D52BE2">
      <w:pPr>
        <w:pStyle w:val="Header"/>
        <w:jc w:val="both"/>
        <w:rPr>
          <w:bCs/>
          <w:noProof w:val="0"/>
          <w:sz w:val="24"/>
        </w:rPr>
      </w:pPr>
    </w:p>
    <w:p w14:paraId="403CB9C0" w14:textId="77777777" w:rsidR="00A209D6" w:rsidRPr="007438C6" w:rsidRDefault="00A209D6" w:rsidP="00D52BE2">
      <w:pPr>
        <w:pStyle w:val="Header"/>
        <w:jc w:val="both"/>
        <w:rPr>
          <w:bCs/>
          <w:noProof w:val="0"/>
          <w:sz w:val="24"/>
        </w:rPr>
      </w:pPr>
    </w:p>
    <w:p w14:paraId="310B92C9" w14:textId="272473BB" w:rsidR="00446C3A" w:rsidRPr="007438C6" w:rsidRDefault="00446C3A" w:rsidP="00D52BE2">
      <w:pPr>
        <w:pStyle w:val="CRCoverPage"/>
        <w:tabs>
          <w:tab w:val="left" w:pos="1985"/>
        </w:tabs>
        <w:jc w:val="both"/>
        <w:rPr>
          <w:rFonts w:cs="Arial"/>
          <w:b/>
          <w:bCs/>
          <w:sz w:val="24"/>
          <w:lang w:eastAsia="ja-JP"/>
        </w:rPr>
      </w:pPr>
      <w:r w:rsidRPr="007438C6">
        <w:rPr>
          <w:rFonts w:cs="Arial"/>
          <w:b/>
          <w:bCs/>
          <w:sz w:val="24"/>
        </w:rPr>
        <w:t>Agenda item:</w:t>
      </w:r>
      <w:r w:rsidRPr="007438C6">
        <w:rPr>
          <w:rFonts w:cs="Arial"/>
          <w:b/>
          <w:bCs/>
          <w:sz w:val="24"/>
        </w:rPr>
        <w:tab/>
      </w:r>
      <w:r w:rsidR="0025571F" w:rsidRPr="007438C6">
        <w:rPr>
          <w:rFonts w:cs="Arial"/>
          <w:b/>
          <w:bCs/>
          <w:sz w:val="24"/>
          <w:lang w:eastAsia="ja-JP"/>
        </w:rPr>
        <w:t>8.</w:t>
      </w:r>
      <w:r w:rsidR="009603BA">
        <w:rPr>
          <w:rFonts w:cs="Arial"/>
          <w:b/>
          <w:bCs/>
          <w:sz w:val="24"/>
          <w:lang w:eastAsia="ja-JP"/>
        </w:rPr>
        <w:t>7.4.</w:t>
      </w:r>
      <w:r w:rsidR="003611CB">
        <w:rPr>
          <w:rFonts w:cs="Arial"/>
          <w:b/>
          <w:bCs/>
          <w:sz w:val="24"/>
          <w:lang w:eastAsia="ja-JP"/>
        </w:rPr>
        <w:t>1.1</w:t>
      </w:r>
    </w:p>
    <w:p w14:paraId="73188B46" w14:textId="77777777" w:rsidR="00446C3A" w:rsidRPr="007438C6" w:rsidRDefault="00446C3A" w:rsidP="00D52BE2">
      <w:pPr>
        <w:tabs>
          <w:tab w:val="left" w:pos="1985"/>
        </w:tabs>
        <w:ind w:left="1985" w:hanging="1985"/>
        <w:jc w:val="both"/>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56129DA1" w:rsidR="00446C3A" w:rsidRPr="007438C6" w:rsidRDefault="00446C3A" w:rsidP="00D52BE2">
      <w:pPr>
        <w:ind w:left="1985" w:hanging="1985"/>
        <w:jc w:val="both"/>
        <w:rPr>
          <w:rFonts w:ascii="Arial" w:hAnsi="Arial" w:cs="Arial"/>
          <w:b/>
          <w:bCs/>
          <w:sz w:val="24"/>
        </w:rPr>
      </w:pPr>
      <w:r w:rsidRPr="007438C6">
        <w:rPr>
          <w:rFonts w:ascii="Arial" w:hAnsi="Arial" w:cs="Arial"/>
          <w:b/>
          <w:bCs/>
          <w:sz w:val="24"/>
        </w:rPr>
        <w:t>Title:</w:t>
      </w:r>
      <w:r w:rsidRPr="007438C6">
        <w:rPr>
          <w:rFonts w:ascii="Arial" w:hAnsi="Arial" w:cs="Arial"/>
          <w:b/>
          <w:bCs/>
          <w:sz w:val="24"/>
        </w:rPr>
        <w:tab/>
      </w:r>
      <w:r w:rsidR="0025571F" w:rsidRPr="007438C6">
        <w:rPr>
          <w:rFonts w:ascii="Arial" w:hAnsi="Arial" w:cs="Arial"/>
          <w:b/>
          <w:bCs/>
          <w:sz w:val="24"/>
        </w:rPr>
        <w:t xml:space="preserve">On </w:t>
      </w:r>
      <w:r w:rsidR="00D52BE2">
        <w:rPr>
          <w:rFonts w:ascii="Arial" w:hAnsi="Arial" w:cs="Arial"/>
          <w:b/>
          <w:bCs/>
          <w:sz w:val="24"/>
        </w:rPr>
        <w:t>Enhanced Cell Reselection in</w:t>
      </w:r>
      <w:r w:rsidR="009603BA">
        <w:rPr>
          <w:rFonts w:ascii="Arial" w:hAnsi="Arial" w:cs="Arial"/>
          <w:b/>
          <w:bCs/>
          <w:sz w:val="24"/>
        </w:rPr>
        <w:t xml:space="preserve"> Rel-18 NTN</w:t>
      </w:r>
    </w:p>
    <w:p w14:paraId="25F387E8" w14:textId="30FD237C" w:rsidR="00446C3A" w:rsidRPr="007438C6" w:rsidRDefault="00446C3A" w:rsidP="00D52BE2">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proofErr w:type="spellStart"/>
      <w:r w:rsidR="009603BA" w:rsidRPr="009603BA">
        <w:rPr>
          <w:rFonts w:ascii="Arial" w:hAnsi="Arial" w:cs="Arial"/>
          <w:b/>
          <w:bCs/>
          <w:sz w:val="24"/>
        </w:rPr>
        <w:t>NR_NTN_enh</w:t>
      </w:r>
      <w:proofErr w:type="spellEnd"/>
      <w:r w:rsidR="009603BA" w:rsidRPr="009603BA" w:rsidDel="009603BA">
        <w:rPr>
          <w:rFonts w:ascii="Arial" w:hAnsi="Arial" w:cs="Arial"/>
          <w:b/>
          <w:bCs/>
          <w:sz w:val="24"/>
        </w:rPr>
        <w:t xml:space="preserve">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D52BE2">
      <w:pPr>
        <w:tabs>
          <w:tab w:val="left" w:pos="1985"/>
        </w:tabs>
        <w:jc w:val="both"/>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D52BE2">
      <w:pPr>
        <w:pStyle w:val="Heading1"/>
        <w:jc w:val="both"/>
      </w:pPr>
      <w:r w:rsidRPr="007438C6">
        <w:t>1</w:t>
      </w:r>
      <w:r w:rsidRPr="007438C6">
        <w:tab/>
        <w:t>Introduction</w:t>
      </w:r>
    </w:p>
    <w:p w14:paraId="2F0B5B19" w14:textId="77777777" w:rsidR="00643FD0" w:rsidRDefault="00643FD0" w:rsidP="00D52BE2">
      <w:pPr>
        <w:jc w:val="both"/>
      </w:pPr>
      <w:r>
        <w:t xml:space="preserve">The following WI objective has been agreed for Rel-18 NTN WI </w:t>
      </w:r>
      <w:r>
        <w:rPr>
          <w:rFonts w:cs="Arial"/>
        </w:rPr>
        <w:fldChar w:fldCharType="begin"/>
      </w:r>
      <w:r>
        <w:rPr>
          <w:rFonts w:cs="Arial"/>
        </w:rPr>
        <w:instrText xml:space="preserve"> REF _Ref109128637 \r \h  \* MERGEFORMAT </w:instrText>
      </w:r>
      <w:r>
        <w:rPr>
          <w:rFonts w:cs="Arial"/>
        </w:rPr>
      </w:r>
      <w:r>
        <w:rPr>
          <w:rFonts w:cs="Arial"/>
        </w:rPr>
        <w:fldChar w:fldCharType="separate"/>
      </w:r>
      <w:r>
        <w:rPr>
          <w:rFonts w:cs="Arial"/>
        </w:rPr>
        <w:t>[1]</w:t>
      </w:r>
      <w:r>
        <w:rPr>
          <w:rFonts w:cs="Arial"/>
        </w:rPr>
        <w:fldChar w:fldCharType="end"/>
      </w:r>
      <w:r>
        <w:t>:</w:t>
      </w:r>
    </w:p>
    <w:tbl>
      <w:tblPr>
        <w:tblStyle w:val="TableGrid"/>
        <w:tblW w:w="0" w:type="auto"/>
        <w:tblLook w:val="04A0" w:firstRow="1" w:lastRow="0" w:firstColumn="1" w:lastColumn="0" w:noHBand="0" w:noVBand="1"/>
      </w:tblPr>
      <w:tblGrid>
        <w:gridCol w:w="9631"/>
      </w:tblGrid>
      <w:tr w:rsidR="00643FD0" w14:paraId="43D21E88" w14:textId="77777777" w:rsidTr="00643FD0">
        <w:tc>
          <w:tcPr>
            <w:tcW w:w="9631" w:type="dxa"/>
            <w:tcBorders>
              <w:top w:val="single" w:sz="4" w:space="0" w:color="auto"/>
              <w:left w:val="single" w:sz="4" w:space="0" w:color="auto"/>
              <w:bottom w:val="single" w:sz="4" w:space="0" w:color="auto"/>
              <w:right w:val="single" w:sz="4" w:space="0" w:color="auto"/>
            </w:tcBorders>
            <w:hideMark/>
          </w:tcPr>
          <w:p w14:paraId="61B2A24D" w14:textId="77777777" w:rsidR="00643FD0" w:rsidRDefault="00643FD0" w:rsidP="00D52BE2">
            <w:pPr>
              <w:jc w:val="both"/>
              <w:rPr>
                <w:rFonts w:eastAsia="Calibri"/>
                <w:lang w:val="en-US" w:eastAsia="en-GB"/>
              </w:rPr>
            </w:pPr>
            <w:r>
              <w:rPr>
                <w:rFonts w:eastAsia="Calibri"/>
                <w:lang w:val="en-US" w:eastAsia="en-GB"/>
              </w:rPr>
              <w:t>4.1.4</w:t>
            </w:r>
            <w:r>
              <w:rPr>
                <w:lang w:val="en-US" w:eastAsia="en-GB"/>
              </w:rPr>
              <w:tab/>
            </w:r>
            <w:r>
              <w:rPr>
                <w:rFonts w:eastAsia="Calibri"/>
                <w:lang w:val="en-US" w:eastAsia="en-GB"/>
              </w:rPr>
              <w:t>NTN-TN and NTN-NTN mobility and service continuity enhancements</w:t>
            </w:r>
          </w:p>
          <w:p w14:paraId="1D09441C" w14:textId="77777777" w:rsidR="00643FD0" w:rsidRDefault="00643FD0" w:rsidP="00D52BE2">
            <w:pPr>
              <w:jc w:val="both"/>
              <w:rPr>
                <w:rFonts w:eastAsia="Calibri"/>
                <w:lang w:val="en-US" w:eastAsia="en-GB"/>
              </w:rPr>
            </w:pPr>
            <w:r>
              <w:rPr>
                <w:rFonts w:eastAsia="Calibri"/>
                <w:lang w:val="en-US" w:eastAsia="en-GB"/>
              </w:rPr>
              <w:t>This work considers existing methods from NR TN as well as outcome of Rel-17 NR NTN WI outcome as baseline for NTN-TN mobility.</w:t>
            </w:r>
          </w:p>
          <w:p w14:paraId="07869B60" w14:textId="77777777" w:rsidR="00643FD0" w:rsidRDefault="00643FD0" w:rsidP="00D52BE2">
            <w:pPr>
              <w:jc w:val="both"/>
              <w:rPr>
                <w:rFonts w:eastAsia="Calibri"/>
                <w:lang w:val="en-US" w:eastAsia="en-GB"/>
              </w:rPr>
            </w:pPr>
            <w:r>
              <w:rPr>
                <w:rFonts w:eastAsia="Calibri"/>
                <w:lang w:val="en-US" w:eastAsia="en-GB"/>
              </w:rPr>
              <w:t xml:space="preserve"> Specify NTN-TN and NTN-NTN measurement/mobility and service continuity enhancements [RAN2,RAN3,RAN4]</w:t>
            </w:r>
          </w:p>
          <w:p w14:paraId="52036400" w14:textId="77777777" w:rsidR="00643FD0" w:rsidRDefault="00643FD0" w:rsidP="00D52BE2">
            <w:pPr>
              <w:pStyle w:val="ListParagraph"/>
              <w:numPr>
                <w:ilvl w:val="1"/>
                <w:numId w:val="15"/>
              </w:numPr>
              <w:jc w:val="both"/>
              <w:rPr>
                <w:lang w:val="en-US" w:eastAsia="en-GB"/>
              </w:rPr>
            </w:pPr>
            <w:r>
              <w:rPr>
                <w:rFonts w:eastAsia="Calibri"/>
                <w:lang w:val="en-US" w:eastAsia="en-GB"/>
              </w:rPr>
              <w:t>For NTN-NTN mobility, specify cell reselection enhancements for earth moving cell, the timing based and location-based cell reselection for quasi-earth fixed cell in Rel-17 can be considered as the starting point. [RAN2, RAN3, RAN4]</w:t>
            </w:r>
          </w:p>
          <w:p w14:paraId="672041B1" w14:textId="77777777" w:rsidR="00643FD0" w:rsidRDefault="00643FD0" w:rsidP="00D52BE2">
            <w:pPr>
              <w:pStyle w:val="ListParagraph"/>
              <w:numPr>
                <w:ilvl w:val="1"/>
                <w:numId w:val="15"/>
              </w:numPr>
              <w:jc w:val="both"/>
              <w:rPr>
                <w:lang w:val="en-US" w:eastAsia="en-GB"/>
              </w:rPr>
            </w:pPr>
            <w:r>
              <w:rPr>
                <w:rFonts w:eastAsia="Calibri"/>
                <w:lang w:val="en-US" w:eastAsia="en-GB"/>
              </w:rPr>
              <w:t xml:space="preserve">Specify NTN-NTN handover enhancement for RRC_CONNECTED UEs in the quasi-earth-fixed cell and earth-moving cell to reduce the </w:t>
            </w:r>
            <w:proofErr w:type="spellStart"/>
            <w:r>
              <w:rPr>
                <w:rFonts w:eastAsia="Calibri"/>
                <w:lang w:val="en-US" w:eastAsia="en-GB"/>
              </w:rPr>
              <w:t>signalling</w:t>
            </w:r>
            <w:proofErr w:type="spellEnd"/>
            <w:r>
              <w:rPr>
                <w:rFonts w:eastAsia="Calibri"/>
                <w:lang w:val="en-US" w:eastAsia="en-GB"/>
              </w:rPr>
              <w:t xml:space="preserve"> overhead. [RAN2, RAN3]</w:t>
            </w:r>
          </w:p>
          <w:p w14:paraId="5B852081" w14:textId="77777777" w:rsidR="00643FD0" w:rsidRDefault="00643FD0" w:rsidP="00D52BE2">
            <w:pPr>
              <w:pStyle w:val="ListParagraph"/>
              <w:numPr>
                <w:ilvl w:val="1"/>
                <w:numId w:val="15"/>
              </w:numPr>
              <w:jc w:val="both"/>
              <w:rPr>
                <w:lang w:val="en-US" w:eastAsia="en-GB"/>
              </w:rPr>
            </w:pPr>
            <w:r>
              <w:rPr>
                <w:rFonts w:eastAsia="Calibri"/>
                <w:lang w:val="en-US" w:eastAsia="en-GB"/>
              </w:rPr>
              <w:t>Specify cell reselection enhancements for RRC_IDLE/INACTIVE UEs to reduce UE power consumption (NTN-TN mobility is prioritized). [RAN2, RAN3, RAN4]</w:t>
            </w:r>
          </w:p>
          <w:p w14:paraId="1D3CE2B6" w14:textId="77777777" w:rsidR="00643FD0" w:rsidRDefault="00643FD0" w:rsidP="00D52BE2">
            <w:pPr>
              <w:pStyle w:val="ListParagraph"/>
              <w:numPr>
                <w:ilvl w:val="1"/>
                <w:numId w:val="15"/>
              </w:numPr>
              <w:jc w:val="both"/>
              <w:rPr>
                <w:lang w:eastAsia="en-GB"/>
              </w:rPr>
            </w:pPr>
            <w:r>
              <w:rPr>
                <w:rFonts w:eastAsia="Calibri"/>
                <w:lang w:val="en-US" w:eastAsia="en-GB"/>
              </w:rPr>
              <w:t xml:space="preserve">Study and, if needed, specify enhancement to </w:t>
            </w:r>
            <w:proofErr w:type="spellStart"/>
            <w:r>
              <w:rPr>
                <w:rFonts w:eastAsia="Calibri"/>
                <w:lang w:val="en-US" w:eastAsia="en-GB"/>
              </w:rPr>
              <w:t>Xn</w:t>
            </w:r>
            <w:proofErr w:type="spellEnd"/>
            <w:r>
              <w:rPr>
                <w:rFonts w:eastAsia="Calibri"/>
                <w:lang w:val="en-US" w:eastAsia="en-GB"/>
              </w:rPr>
              <w:t xml:space="preserve">[/NG] </w:t>
            </w:r>
            <w:proofErr w:type="spellStart"/>
            <w:r>
              <w:rPr>
                <w:rFonts w:eastAsia="Calibri"/>
                <w:lang w:val="en-US" w:eastAsia="en-GB"/>
              </w:rPr>
              <w:t>signalling</w:t>
            </w:r>
            <w:proofErr w:type="spellEnd"/>
            <w:r>
              <w:rPr>
                <w:rFonts w:eastAsia="Calibri"/>
                <w:lang w:val="en-US" w:eastAsia="en-GB"/>
              </w:rPr>
              <w:t xml:space="preserve"> to support feeder link switch-over, CHO, e.g. exchange of necessary information between </w:t>
            </w:r>
            <w:proofErr w:type="spellStart"/>
            <w:r>
              <w:rPr>
                <w:rFonts w:eastAsia="Calibri"/>
                <w:lang w:val="en-US" w:eastAsia="en-GB"/>
              </w:rPr>
              <w:t>gNBs</w:t>
            </w:r>
            <w:proofErr w:type="spellEnd"/>
            <w:r>
              <w:rPr>
                <w:rFonts w:eastAsia="Calibri"/>
                <w:lang w:val="en-US" w:eastAsia="en-GB"/>
              </w:rPr>
              <w:t>. [RAN3]</w:t>
            </w:r>
          </w:p>
        </w:tc>
      </w:tr>
    </w:tbl>
    <w:p w14:paraId="28CD8B42" w14:textId="35DDC806" w:rsidR="00643FD0" w:rsidRDefault="00881DE2" w:rsidP="00D52BE2">
      <w:pPr>
        <w:jc w:val="both"/>
        <w:rPr>
          <w:lang w:val="en-US"/>
        </w:rPr>
      </w:pPr>
      <w:r>
        <w:rPr>
          <w:lang w:val="en-US"/>
        </w:rPr>
        <w:br/>
      </w:r>
      <w:r w:rsidR="00643FD0">
        <w:rPr>
          <w:lang w:val="en-US"/>
        </w:rPr>
        <w:t>The following agreements were made at RAN#119bis:</w:t>
      </w:r>
    </w:p>
    <w:tbl>
      <w:tblPr>
        <w:tblStyle w:val="TableGrid"/>
        <w:tblW w:w="9634" w:type="dxa"/>
        <w:tblLook w:val="04A0" w:firstRow="1" w:lastRow="0" w:firstColumn="1" w:lastColumn="0" w:noHBand="0" w:noVBand="1"/>
      </w:tblPr>
      <w:tblGrid>
        <w:gridCol w:w="9634"/>
      </w:tblGrid>
      <w:tr w:rsidR="00643FD0" w14:paraId="7E621895" w14:textId="77777777" w:rsidTr="00A35CB7">
        <w:tc>
          <w:tcPr>
            <w:tcW w:w="9634" w:type="dxa"/>
            <w:tcBorders>
              <w:top w:val="single" w:sz="4" w:space="0" w:color="auto"/>
              <w:left w:val="single" w:sz="4" w:space="0" w:color="auto"/>
              <w:bottom w:val="single" w:sz="4" w:space="0" w:color="auto"/>
              <w:right w:val="single" w:sz="4" w:space="0" w:color="auto"/>
            </w:tcBorders>
            <w:hideMark/>
          </w:tcPr>
          <w:p w14:paraId="70641B3F" w14:textId="77777777" w:rsidR="00643FD0" w:rsidRDefault="00643FD0" w:rsidP="00D52BE2">
            <w:pPr>
              <w:jc w:val="both"/>
              <w:rPr>
                <w:lang w:eastAsia="en-GB"/>
              </w:rPr>
            </w:pPr>
            <w:r>
              <w:rPr>
                <w:lang w:eastAsia="en-GB"/>
              </w:rPr>
              <w:t>Agreements:</w:t>
            </w:r>
          </w:p>
          <w:p w14:paraId="4B762989" w14:textId="77777777" w:rsidR="00643FD0" w:rsidRDefault="00643FD0" w:rsidP="00D52BE2">
            <w:pPr>
              <w:jc w:val="both"/>
              <w:rPr>
                <w:lang w:eastAsia="en-GB"/>
              </w:rPr>
            </w:pPr>
            <w:r>
              <w:rPr>
                <w:lang w:eastAsia="en-GB"/>
              </w:rPr>
              <w:t>1.</w:t>
            </w:r>
            <w:r>
              <w:rPr>
                <w:lang w:eastAsia="en-GB"/>
              </w:rPr>
              <w:tab/>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0F244B1C" w14:textId="77777777" w:rsidR="00643FD0" w:rsidRDefault="00643FD0" w:rsidP="00D52BE2">
            <w:pPr>
              <w:jc w:val="both"/>
              <w:rPr>
                <w:lang w:eastAsia="en-GB"/>
              </w:rPr>
            </w:pPr>
            <w:r>
              <w:rPr>
                <w:lang w:eastAsia="en-GB"/>
              </w:rPr>
              <w:t>2.</w:t>
            </w:r>
            <w:r>
              <w:rPr>
                <w:lang w:eastAsia="en-GB"/>
              </w:rPr>
              <w:tab/>
              <w:t>To enhance NTN-TN cell reselection, means are defined for a UE to differentiate when camping in an area only covered by NTN network (earth-moving or earth-fixed) vs an area where TN network(s) is/are also available.</w:t>
            </w:r>
          </w:p>
        </w:tc>
      </w:tr>
    </w:tbl>
    <w:p w14:paraId="1455FACD" w14:textId="77777777" w:rsidR="00643FD0" w:rsidRDefault="00643FD0" w:rsidP="00D52BE2">
      <w:pPr>
        <w:jc w:val="both"/>
      </w:pPr>
    </w:p>
    <w:tbl>
      <w:tblPr>
        <w:tblStyle w:val="TableGrid"/>
        <w:tblW w:w="9634" w:type="dxa"/>
        <w:tblLook w:val="04A0" w:firstRow="1" w:lastRow="0" w:firstColumn="1" w:lastColumn="0" w:noHBand="0" w:noVBand="1"/>
      </w:tblPr>
      <w:tblGrid>
        <w:gridCol w:w="9634"/>
      </w:tblGrid>
      <w:tr w:rsidR="00643FD0" w14:paraId="7DD6EB62" w14:textId="77777777" w:rsidTr="00A35CB7">
        <w:tc>
          <w:tcPr>
            <w:tcW w:w="9634" w:type="dxa"/>
            <w:tcBorders>
              <w:top w:val="single" w:sz="4" w:space="0" w:color="auto"/>
              <w:left w:val="single" w:sz="4" w:space="0" w:color="auto"/>
              <w:bottom w:val="single" w:sz="4" w:space="0" w:color="auto"/>
              <w:right w:val="single" w:sz="4" w:space="0" w:color="auto"/>
            </w:tcBorders>
            <w:hideMark/>
          </w:tcPr>
          <w:p w14:paraId="418348E3" w14:textId="77777777" w:rsidR="00643FD0" w:rsidRDefault="00643FD0" w:rsidP="00D52BE2">
            <w:pPr>
              <w:jc w:val="both"/>
              <w:rPr>
                <w:lang w:eastAsia="en-GB"/>
              </w:rPr>
            </w:pPr>
            <w:r>
              <w:rPr>
                <w:lang w:eastAsia="en-GB"/>
              </w:rPr>
              <w:t>Agreements:</w:t>
            </w:r>
          </w:p>
          <w:p w14:paraId="64901211" w14:textId="77777777" w:rsidR="00643FD0" w:rsidRDefault="00643FD0" w:rsidP="00D52BE2">
            <w:pPr>
              <w:jc w:val="both"/>
              <w:rPr>
                <w:lang w:eastAsia="en-GB"/>
              </w:rPr>
            </w:pPr>
            <w:r>
              <w:rPr>
                <w:lang w:eastAsia="en-GB"/>
              </w:rPr>
              <w:t>1.</w:t>
            </w:r>
            <w:r>
              <w:rPr>
                <w:lang w:eastAsia="en-GB"/>
              </w:rPr>
              <w:tab/>
              <w:t>System information is the basic means for providing necessary parameters to assist UE to estimate when the serving cell stops providing coverage at the present UE location.</w:t>
            </w:r>
          </w:p>
          <w:p w14:paraId="0611FBB5" w14:textId="77777777" w:rsidR="00643FD0" w:rsidRDefault="00643FD0" w:rsidP="00D52BE2">
            <w:pPr>
              <w:jc w:val="both"/>
              <w:rPr>
                <w:lang w:eastAsia="en-GB"/>
              </w:rPr>
            </w:pPr>
            <w:r>
              <w:rPr>
                <w:lang w:eastAsia="en-GB"/>
              </w:rPr>
              <w:t>2.</w:t>
            </w:r>
            <w:r>
              <w:rPr>
                <w:lang w:eastAsia="en-GB"/>
              </w:rPr>
              <w:tab/>
              <w:t>UE is not required to perform neighbour cell measurements for TN neighbour cells in an area where there is no TN network coverage.</w:t>
            </w:r>
          </w:p>
          <w:p w14:paraId="7AF206F2" w14:textId="77777777" w:rsidR="00643FD0" w:rsidRDefault="00643FD0" w:rsidP="00D52BE2">
            <w:pPr>
              <w:jc w:val="both"/>
              <w:rPr>
                <w:lang w:eastAsia="en-GB"/>
              </w:rPr>
            </w:pPr>
            <w:r>
              <w:rPr>
                <w:lang w:eastAsia="en-GB"/>
              </w:rPr>
              <w:t>3.</w:t>
            </w:r>
            <w:r>
              <w:rPr>
                <w:lang w:eastAsia="en-GB"/>
              </w:rPr>
              <w:tab/>
              <w:t>The method of detecting the transmission energy or SIB presence to determine the NTN coverage when a UE currently camps on a TN cell is not pursued.</w:t>
            </w:r>
          </w:p>
          <w:p w14:paraId="32017AF6" w14:textId="77777777" w:rsidR="00643FD0" w:rsidRDefault="00643FD0" w:rsidP="00D52BE2">
            <w:pPr>
              <w:jc w:val="both"/>
              <w:rPr>
                <w:lang w:eastAsia="en-GB"/>
              </w:rPr>
            </w:pPr>
            <w:r>
              <w:rPr>
                <w:lang w:eastAsia="en-GB"/>
              </w:rPr>
              <w:t>4.</w:t>
            </w:r>
            <w:r>
              <w:rPr>
                <w:lang w:eastAsia="en-GB"/>
              </w:rPr>
              <w:tab/>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05206601" w14:textId="03CE9FDE" w:rsidR="00247BE1" w:rsidRDefault="00881DE2" w:rsidP="00D52BE2">
      <w:pPr>
        <w:jc w:val="both"/>
        <w:rPr>
          <w:lang w:val="en-US"/>
        </w:rPr>
      </w:pPr>
      <w:r>
        <w:rPr>
          <w:lang w:val="en-US"/>
        </w:rPr>
        <w:br/>
      </w:r>
      <w:r w:rsidR="00247BE1">
        <w:rPr>
          <w:lang w:val="en-US"/>
        </w:rPr>
        <w:t>The following agreements were made at RAN#120:</w:t>
      </w:r>
    </w:p>
    <w:p w14:paraId="07B45380" w14:textId="77777777" w:rsidR="006312BE" w:rsidRPr="006312BE" w:rsidRDefault="006312BE" w:rsidP="00D52BE2">
      <w:pPr>
        <w:pStyle w:val="Doc-comment"/>
        <w:pBdr>
          <w:top w:val="single" w:sz="4" w:space="1" w:color="auto"/>
          <w:left w:val="single" w:sz="4" w:space="4" w:color="auto"/>
          <w:bottom w:val="single" w:sz="4" w:space="1" w:color="auto"/>
          <w:right w:val="single" w:sz="4" w:space="4" w:color="auto"/>
        </w:pBdr>
        <w:ind w:left="363"/>
        <w:jc w:val="both"/>
        <w:rPr>
          <w:rFonts w:ascii="Times New Roman" w:hAnsi="Times New Roman"/>
          <w:i w:val="0"/>
        </w:rPr>
      </w:pPr>
      <w:r w:rsidRPr="006312BE">
        <w:rPr>
          <w:rFonts w:ascii="Times New Roman" w:hAnsi="Times New Roman"/>
          <w:i w:val="0"/>
        </w:rPr>
        <w:t>Agreements:</w:t>
      </w:r>
    </w:p>
    <w:p w14:paraId="2BF3F9FE" w14:textId="77777777" w:rsidR="006312BE" w:rsidRPr="006312BE" w:rsidRDefault="006312BE" w:rsidP="00D52BE2">
      <w:pPr>
        <w:pStyle w:val="Doc-comment"/>
        <w:numPr>
          <w:ilvl w:val="0"/>
          <w:numId w:val="17"/>
        </w:numPr>
        <w:pBdr>
          <w:top w:val="single" w:sz="4" w:space="1" w:color="auto"/>
          <w:left w:val="single" w:sz="4" w:space="4" w:color="auto"/>
          <w:bottom w:val="single" w:sz="4" w:space="1" w:color="auto"/>
          <w:right w:val="single" w:sz="4" w:space="4" w:color="auto"/>
        </w:pBdr>
        <w:ind w:left="360"/>
        <w:jc w:val="both"/>
        <w:rPr>
          <w:rFonts w:ascii="Times New Roman" w:hAnsi="Times New Roman"/>
          <w:i w:val="0"/>
        </w:rPr>
      </w:pPr>
      <w:r w:rsidRPr="006312BE">
        <w:rPr>
          <w:rFonts w:ascii="Times New Roman" w:hAnsi="Times New Roman"/>
          <w:i w:val="0"/>
        </w:rPr>
        <w:t>RAN2 will first continue the investigation on the details of the TN coverage data (e.g. accuracy requirements for describing where TN network(s) is/are available) and UE storage overhead before deciding how to send the information to the UE.</w:t>
      </w:r>
    </w:p>
    <w:p w14:paraId="70937107" w14:textId="641E6C67" w:rsidR="006312BE" w:rsidRPr="00931B9F" w:rsidRDefault="006312BE" w:rsidP="00D52BE2">
      <w:pPr>
        <w:pStyle w:val="Doc-comment"/>
        <w:numPr>
          <w:ilvl w:val="0"/>
          <w:numId w:val="17"/>
        </w:numPr>
        <w:pBdr>
          <w:top w:val="single" w:sz="4" w:space="1" w:color="auto"/>
          <w:left w:val="single" w:sz="4" w:space="4" w:color="auto"/>
          <w:bottom w:val="single" w:sz="4" w:space="1" w:color="auto"/>
          <w:right w:val="single" w:sz="4" w:space="4" w:color="auto"/>
        </w:pBdr>
        <w:ind w:left="360"/>
        <w:jc w:val="both"/>
        <w:rPr>
          <w:rFonts w:ascii="Times New Roman" w:hAnsi="Times New Roman"/>
          <w:i w:val="0"/>
        </w:rPr>
      </w:pPr>
      <w:r w:rsidRPr="006312BE">
        <w:rPr>
          <w:rFonts w:ascii="Times New Roman" w:hAnsi="Times New Roman"/>
          <w:i w:val="0"/>
        </w:rPr>
        <w:t>Continue the discussion on whether to introduce explicit indication to identify TN cells from inter-frequency list and inter-RAT frequency list (FFS on the granularity) or whether we rely on implicit information.</w:t>
      </w:r>
    </w:p>
    <w:p w14:paraId="5F4EBEA8" w14:textId="72C77743" w:rsidR="00B70C6C" w:rsidRDefault="00B709A0" w:rsidP="00D52BE2">
      <w:pPr>
        <w:jc w:val="both"/>
        <w:rPr>
          <w:lang w:val="en-US"/>
        </w:rPr>
      </w:pPr>
      <w:r>
        <w:rPr>
          <w:lang w:val="en-US"/>
        </w:rPr>
        <w:br/>
      </w:r>
      <w:r w:rsidR="00B70C6C">
        <w:rPr>
          <w:lang w:val="en-US"/>
        </w:rPr>
        <w:t xml:space="preserve">The following </w:t>
      </w:r>
      <w:r w:rsidR="00E1535A">
        <w:rPr>
          <w:lang w:val="en-US"/>
        </w:rPr>
        <w:t xml:space="preserve">further </w:t>
      </w:r>
      <w:r w:rsidR="00B70C6C">
        <w:rPr>
          <w:lang w:val="en-US"/>
        </w:rPr>
        <w:t>agreements were made at RAN#120:</w:t>
      </w:r>
    </w:p>
    <w:tbl>
      <w:tblPr>
        <w:tblW w:w="97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B70C6C" w14:paraId="7A87737C" w14:textId="77777777" w:rsidTr="00B70C6C">
        <w:trPr>
          <w:trHeight w:val="1340"/>
        </w:trPr>
        <w:tc>
          <w:tcPr>
            <w:tcW w:w="9770" w:type="dxa"/>
          </w:tcPr>
          <w:p w14:paraId="5D9BE4BA" w14:textId="77777777" w:rsidR="00B70C6C" w:rsidRPr="00B70C6C" w:rsidRDefault="00B70C6C" w:rsidP="00D52BE2">
            <w:pPr>
              <w:ind w:left="13"/>
              <w:jc w:val="both"/>
              <w:rPr>
                <w:rFonts w:eastAsia="Calibri"/>
                <w:lang w:val="en-US" w:eastAsia="en-GB"/>
              </w:rPr>
            </w:pPr>
            <w:r w:rsidRPr="00B70C6C">
              <w:rPr>
                <w:rFonts w:eastAsia="Calibri"/>
                <w:lang w:val="en-US" w:eastAsia="en-GB"/>
              </w:rPr>
              <w:t xml:space="preserve">Agreements: </w:t>
            </w:r>
          </w:p>
          <w:p w14:paraId="4BEA673D" w14:textId="5E2B11B8" w:rsidR="00B70C6C" w:rsidRDefault="00B70C6C" w:rsidP="00D52BE2">
            <w:pPr>
              <w:ind w:left="13"/>
              <w:jc w:val="both"/>
              <w:rPr>
                <w:rFonts w:eastAsia="Calibri"/>
                <w:lang w:val="en-US" w:eastAsia="en-GB"/>
              </w:rPr>
            </w:pPr>
            <w:r w:rsidRPr="00B70C6C">
              <w:rPr>
                <w:rFonts w:eastAsia="Calibri"/>
                <w:lang w:val="en-US" w:eastAsia="en-GB"/>
              </w:rPr>
              <w:t>RAN2 understands that for UEs signaling inactiveStateNTN-r17 = 0 for NTN, current understanding is that the UEs in RRC_INACTIVE will autonomously go to RRC IDLE upon moving from TN to NTN and perform NAS recovery. Add a note to RRC to cover this case (IoT bit set to 0) when describing acquisition of SIB1</w:t>
            </w:r>
          </w:p>
        </w:tc>
      </w:tr>
    </w:tbl>
    <w:p w14:paraId="342B8880" w14:textId="210B1BFE" w:rsidR="00247BE1" w:rsidRDefault="00881DE2" w:rsidP="00D52BE2">
      <w:pPr>
        <w:jc w:val="both"/>
        <w:rPr>
          <w:lang w:val="en-US"/>
        </w:rPr>
      </w:pPr>
      <w:r>
        <w:rPr>
          <w:lang w:val="en-US"/>
        </w:rPr>
        <w:br/>
      </w:r>
      <w:r w:rsidR="00E1535A">
        <w:rPr>
          <w:lang w:val="en-US"/>
        </w:rPr>
        <w:t>In this paper we share more thoughts on the IDLE mode reselections for NTN UEs.</w:t>
      </w:r>
    </w:p>
    <w:p w14:paraId="09454BB0" w14:textId="0C501375" w:rsidR="006626C7" w:rsidRDefault="009339CB" w:rsidP="00D52BE2">
      <w:pPr>
        <w:pStyle w:val="Heading1"/>
        <w:jc w:val="both"/>
      </w:pPr>
      <w:r w:rsidRPr="007438C6">
        <w:t>2</w:t>
      </w:r>
      <w:r w:rsidRPr="007438C6">
        <w:tab/>
      </w:r>
      <w:r w:rsidR="006A5F65">
        <w:t>TN coverage</w:t>
      </w:r>
      <w:r w:rsidR="00555516">
        <w:t xml:space="preserve"> area</w:t>
      </w:r>
    </w:p>
    <w:p w14:paraId="064C9B55" w14:textId="27C647D7" w:rsidR="004245E6" w:rsidRDefault="00D92833" w:rsidP="00D52BE2">
      <w:pPr>
        <w:jc w:val="both"/>
      </w:pPr>
      <w:r>
        <w:t>The following options to describe the TN area have been discussed</w:t>
      </w:r>
      <w:r w:rsidR="00A1621B">
        <w:t xml:space="preserve"> [2]</w:t>
      </w:r>
      <w:r>
        <w:t>:</w:t>
      </w:r>
    </w:p>
    <w:p w14:paraId="31808F6B" w14:textId="77777777" w:rsidR="00474AEA" w:rsidRPr="00474AEA" w:rsidRDefault="00474AEA" w:rsidP="00D52BE2">
      <w:pPr>
        <w:pStyle w:val="ListParagraph"/>
        <w:numPr>
          <w:ilvl w:val="0"/>
          <w:numId w:val="19"/>
        </w:numPr>
        <w:jc w:val="both"/>
        <w:rPr>
          <w:i/>
          <w:iCs/>
        </w:rPr>
      </w:pPr>
      <w:r w:rsidRPr="00474AEA">
        <w:rPr>
          <w:i/>
          <w:iCs/>
        </w:rPr>
        <w:t xml:space="preserve">The cell </w:t>
      </w:r>
      <w:proofErr w:type="spellStart"/>
      <w:r w:rsidRPr="00474AEA">
        <w:rPr>
          <w:i/>
          <w:iCs/>
        </w:rPr>
        <w:t>center</w:t>
      </w:r>
      <w:proofErr w:type="spellEnd"/>
      <w:r w:rsidRPr="00474AEA">
        <w:rPr>
          <w:i/>
          <w:iCs/>
        </w:rPr>
        <w:t xml:space="preserve"> and cell radius of TN neighbour cells, or in other terms, the reference location and a distance threshold of TN neighbour cells</w:t>
      </w:r>
    </w:p>
    <w:p w14:paraId="2C0AC321" w14:textId="77777777" w:rsidR="00474AEA" w:rsidRPr="00474AEA" w:rsidRDefault="00474AEA" w:rsidP="00D52BE2">
      <w:pPr>
        <w:pStyle w:val="ListParagraph"/>
        <w:numPr>
          <w:ilvl w:val="0"/>
          <w:numId w:val="19"/>
        </w:numPr>
        <w:jc w:val="both"/>
        <w:rPr>
          <w:i/>
          <w:iCs/>
        </w:rPr>
      </w:pPr>
      <w:r w:rsidRPr="00474AEA">
        <w:rPr>
          <w:i/>
          <w:iCs/>
        </w:rPr>
        <w:t>The boundary line between TN area and NTN area</w:t>
      </w:r>
    </w:p>
    <w:p w14:paraId="33EC98DD" w14:textId="77777777" w:rsidR="00474AEA" w:rsidRPr="00474AEA" w:rsidRDefault="00474AEA" w:rsidP="00D52BE2">
      <w:pPr>
        <w:pStyle w:val="ListParagraph"/>
        <w:numPr>
          <w:ilvl w:val="0"/>
          <w:numId w:val="19"/>
        </w:numPr>
        <w:jc w:val="both"/>
        <w:rPr>
          <w:i/>
          <w:iCs/>
        </w:rPr>
      </w:pPr>
      <w:r w:rsidRPr="00474AEA">
        <w:rPr>
          <w:i/>
          <w:iCs/>
        </w:rPr>
        <w:t xml:space="preserve">For quasi-earth fixed cells, TN coverage is described by a distance range from the cell </w:t>
      </w:r>
      <w:proofErr w:type="spellStart"/>
      <w:r w:rsidRPr="00474AEA">
        <w:rPr>
          <w:i/>
          <w:iCs/>
        </w:rPr>
        <w:t>center</w:t>
      </w:r>
      <w:proofErr w:type="spellEnd"/>
      <w:r w:rsidRPr="00474AEA">
        <w:rPr>
          <w:i/>
          <w:iCs/>
        </w:rPr>
        <w:t xml:space="preserve"> and an angle range based on a reference direction</w:t>
      </w:r>
    </w:p>
    <w:p w14:paraId="16B121E4" w14:textId="77777777" w:rsidR="00474AEA" w:rsidRPr="00474AEA" w:rsidRDefault="00474AEA" w:rsidP="00D52BE2">
      <w:pPr>
        <w:pStyle w:val="ListParagraph"/>
        <w:numPr>
          <w:ilvl w:val="0"/>
          <w:numId w:val="19"/>
        </w:numPr>
        <w:jc w:val="both"/>
        <w:rPr>
          <w:i/>
          <w:iCs/>
        </w:rPr>
      </w:pPr>
      <w:r w:rsidRPr="00474AEA">
        <w:rPr>
          <w:i/>
          <w:iCs/>
        </w:rPr>
        <w:t>An indication could be included in system information to indicate NTN cell’s coverage overlaps with terrestrial TN cell’s coverage</w:t>
      </w:r>
    </w:p>
    <w:p w14:paraId="246DE5DF" w14:textId="77777777" w:rsidR="00474AEA" w:rsidRPr="00474AEA" w:rsidRDefault="00474AEA" w:rsidP="00D52BE2">
      <w:pPr>
        <w:pStyle w:val="ListParagraph"/>
        <w:numPr>
          <w:ilvl w:val="0"/>
          <w:numId w:val="19"/>
        </w:numPr>
        <w:jc w:val="both"/>
        <w:rPr>
          <w:i/>
          <w:iCs/>
        </w:rPr>
      </w:pPr>
      <w:r w:rsidRPr="00474AEA">
        <w:rPr>
          <w:i/>
          <w:iCs/>
        </w:rPr>
        <w:t>NTN cell can be divided to several virtual areas based on certain criteria. The virtual areas and the corresponding TN frequency information are broadcast as assistance information to help UE perform more accurate TN measurements.</w:t>
      </w:r>
    </w:p>
    <w:p w14:paraId="27185EC6" w14:textId="77777777" w:rsidR="00474AEA" w:rsidRPr="00474AEA" w:rsidRDefault="00474AEA" w:rsidP="00D52BE2">
      <w:pPr>
        <w:pStyle w:val="ListParagraph"/>
        <w:numPr>
          <w:ilvl w:val="0"/>
          <w:numId w:val="19"/>
        </w:numPr>
        <w:jc w:val="both"/>
        <w:rPr>
          <w:i/>
          <w:iCs/>
        </w:rPr>
      </w:pPr>
      <w:r w:rsidRPr="00474AEA">
        <w:rPr>
          <w:i/>
          <w:iCs/>
        </w:rPr>
        <w:t>Introduce a parameter using the polygon shape captured in TS 23.032 to describe the coverage area of a TN neighbour cell.</w:t>
      </w:r>
    </w:p>
    <w:p w14:paraId="0687C197" w14:textId="07848866" w:rsidR="00DB1B0E" w:rsidRDefault="00540F5C" w:rsidP="00D52BE2">
      <w:pPr>
        <w:jc w:val="both"/>
      </w:pPr>
      <w:r>
        <w:t xml:space="preserve">For the UE it is </w:t>
      </w:r>
      <w:r w:rsidR="00FB06B1">
        <w:t>relevant</w:t>
      </w:r>
      <w:r>
        <w:t xml:space="preserve"> to know if it is </w:t>
      </w:r>
      <w:r w:rsidR="003539FA">
        <w:t>(</w:t>
      </w:r>
      <w:r w:rsidR="00814028">
        <w:t>potentially</w:t>
      </w:r>
      <w:r w:rsidR="003539FA">
        <w:t>)</w:t>
      </w:r>
      <w:r w:rsidR="00814028">
        <w:t xml:space="preserve"> in range of a TN</w:t>
      </w:r>
      <w:r w:rsidR="00731201">
        <w:t xml:space="preserve"> </w:t>
      </w:r>
      <w:r w:rsidR="00FB06B1">
        <w:t>to</w:t>
      </w:r>
      <w:r w:rsidR="00731201">
        <w:t xml:space="preserve"> start measurements</w:t>
      </w:r>
      <w:r w:rsidR="00814028">
        <w:t xml:space="preserve">. It is </w:t>
      </w:r>
      <w:r w:rsidR="009A13C7">
        <w:t>ir</w:t>
      </w:r>
      <w:r w:rsidR="00814028">
        <w:t>relevant, where exactly this cell is</w:t>
      </w:r>
      <w:r w:rsidR="00731201">
        <w:t xml:space="preserve">, as </w:t>
      </w:r>
      <w:r w:rsidR="00DD5271">
        <w:t xml:space="preserve">the exact </w:t>
      </w:r>
      <w:r w:rsidR="00731201">
        <w:t xml:space="preserve">TN coverage area </w:t>
      </w:r>
      <w:r w:rsidR="00F17DEB">
        <w:t>depends on different factors</w:t>
      </w:r>
      <w:r w:rsidR="00731201">
        <w:t>. Therefore, it is sufficient to provide</w:t>
      </w:r>
      <w:r w:rsidR="00DC3C86">
        <w:t xml:space="preserve"> </w:t>
      </w:r>
      <w:r w:rsidR="00731201">
        <w:t xml:space="preserve">the coverage on the level of </w:t>
      </w:r>
      <w:r w:rsidR="00FE0AD3">
        <w:t xml:space="preserve">a rough area rather than single </w:t>
      </w:r>
      <w:r w:rsidR="00FE0AD3" w:rsidRPr="00C5158F">
        <w:t>cells</w:t>
      </w:r>
      <w:r w:rsidR="002F2836" w:rsidRPr="00321933">
        <w:t>.</w:t>
      </w:r>
      <w:r w:rsidR="007956E4" w:rsidRPr="00603937">
        <w:t xml:space="preserve"> </w:t>
      </w:r>
      <w:r w:rsidR="004526E2" w:rsidRPr="00A35CB7">
        <w:t>The option</w:t>
      </w:r>
      <w:r w:rsidR="00EB235B" w:rsidRPr="00A35CB7">
        <w:t xml:space="preserve"> 1 from [2] seems to be the simples</w:t>
      </w:r>
      <w:r w:rsidR="009A2A35">
        <w:t>t</w:t>
      </w:r>
      <w:r w:rsidR="00EB235B" w:rsidRPr="00A35CB7">
        <w:t xml:space="preserve"> approach, allowing to realize all</w:t>
      </w:r>
      <w:r w:rsidR="002535C4" w:rsidRPr="00A35CB7">
        <w:t xml:space="preserve"> goals described above. The UE assesses its own location, compares with the reference location of the TN cell</w:t>
      </w:r>
      <w:r w:rsidR="009F2C67" w:rsidRPr="00A35CB7">
        <w:t xml:space="preserve"> (+its radius) and knows when to trigger the measurements</w:t>
      </w:r>
      <w:r w:rsidR="00C5158F" w:rsidRPr="00A35CB7">
        <w:t>.</w:t>
      </w:r>
    </w:p>
    <w:p w14:paraId="298BCBF4" w14:textId="0271595F" w:rsidR="003F194C" w:rsidRPr="00A35CB7" w:rsidRDefault="003F194C" w:rsidP="00D52BE2">
      <w:pPr>
        <w:jc w:val="both"/>
        <w:rPr>
          <w:b/>
          <w:bCs/>
        </w:rPr>
      </w:pPr>
      <w:r w:rsidRPr="008B2F7D">
        <w:rPr>
          <w:b/>
          <w:bCs/>
        </w:rPr>
        <w:t xml:space="preserve">Observation </w:t>
      </w:r>
      <w:r w:rsidR="00F743E4" w:rsidRPr="003D1188">
        <w:rPr>
          <w:b/>
          <w:bCs/>
        </w:rPr>
        <w:t>1</w:t>
      </w:r>
      <w:r w:rsidRPr="008B2F7D">
        <w:rPr>
          <w:b/>
        </w:rPr>
        <w:t>:</w:t>
      </w:r>
      <w:r w:rsidRPr="00A35CB7">
        <w:rPr>
          <w:b/>
          <w:bCs/>
        </w:rPr>
        <w:t xml:space="preserve"> </w:t>
      </w:r>
      <w:r w:rsidR="00A6697F" w:rsidRPr="00A35CB7">
        <w:rPr>
          <w:b/>
          <w:bCs/>
        </w:rPr>
        <w:t xml:space="preserve">The UE </w:t>
      </w:r>
      <w:r w:rsidR="00F360FC" w:rsidRPr="00A35CB7">
        <w:rPr>
          <w:b/>
          <w:bCs/>
        </w:rPr>
        <w:t xml:space="preserve">needs to know if it is close to the TN but does </w:t>
      </w:r>
      <w:r w:rsidR="0007434F" w:rsidRPr="00A35CB7">
        <w:rPr>
          <w:b/>
          <w:bCs/>
        </w:rPr>
        <w:t xml:space="preserve">not </w:t>
      </w:r>
      <w:r w:rsidR="00804CF3" w:rsidRPr="00A35CB7">
        <w:rPr>
          <w:b/>
          <w:bCs/>
        </w:rPr>
        <w:t>require</w:t>
      </w:r>
      <w:r w:rsidR="00F360FC" w:rsidRPr="00A35CB7">
        <w:rPr>
          <w:b/>
          <w:bCs/>
        </w:rPr>
        <w:t xml:space="preserve"> the exact coverage area.</w:t>
      </w:r>
    </w:p>
    <w:p w14:paraId="6D1F8955" w14:textId="7BDC6078" w:rsidR="00F743E4" w:rsidRPr="00A35CB7" w:rsidRDefault="00F743E4" w:rsidP="00D52BE2">
      <w:pPr>
        <w:jc w:val="both"/>
        <w:rPr>
          <w:b/>
          <w:bCs/>
        </w:rPr>
      </w:pPr>
      <w:r w:rsidRPr="00A35CB7">
        <w:rPr>
          <w:b/>
          <w:bCs/>
        </w:rPr>
        <w:t>Proposal 1: RAN selects the information comprising the reference location and a distance threshold of TN neighbour cells</w:t>
      </w:r>
      <w:r w:rsidR="008B2F7D" w:rsidRPr="00A35CB7">
        <w:rPr>
          <w:b/>
          <w:bCs/>
        </w:rPr>
        <w:t xml:space="preserve"> to inform the UE on the TN coverage.</w:t>
      </w:r>
    </w:p>
    <w:p w14:paraId="1464A653" w14:textId="517E3A59" w:rsidR="006E181C" w:rsidRDefault="00FA7D0B" w:rsidP="00D52BE2">
      <w:pPr>
        <w:jc w:val="both"/>
      </w:pPr>
      <w:r>
        <w:t>The TN</w:t>
      </w:r>
      <w:r w:rsidR="003D1188">
        <w:t>’s coverage</w:t>
      </w:r>
      <w:r>
        <w:t xml:space="preserve"> </w:t>
      </w:r>
      <w:r w:rsidR="00645E5F">
        <w:t>is</w:t>
      </w:r>
      <w:r>
        <w:t xml:space="preserve"> not</w:t>
      </w:r>
      <w:r w:rsidR="00645E5F">
        <w:t xml:space="preserve"> expected to</w:t>
      </w:r>
      <w:r>
        <w:t xml:space="preserve"> change </w:t>
      </w:r>
      <w:r w:rsidR="0032749F">
        <w:t>often</w:t>
      </w:r>
      <w:r>
        <w:t xml:space="preserve">, hence </w:t>
      </w:r>
      <w:r w:rsidR="009C1FFB">
        <w:t xml:space="preserve">the information </w:t>
      </w:r>
      <w:r w:rsidR="002A35AA">
        <w:t>is mostly static</w:t>
      </w:r>
      <w:r w:rsidR="009C1FFB">
        <w:t xml:space="preserve">. </w:t>
      </w:r>
      <w:r w:rsidR="00DB60E3">
        <w:t>Moreover</w:t>
      </w:r>
      <w:r w:rsidR="009C1FFB">
        <w:t xml:space="preserve">, </w:t>
      </w:r>
      <w:r w:rsidR="006D4527">
        <w:t>the information is valid for all UEs</w:t>
      </w:r>
      <w:r w:rsidR="009C1FFB">
        <w:t xml:space="preserve">. </w:t>
      </w:r>
      <w:r w:rsidR="006235AE">
        <w:t xml:space="preserve">The UE </w:t>
      </w:r>
      <w:r w:rsidR="0007434F">
        <w:t xml:space="preserve">can </w:t>
      </w:r>
      <w:r w:rsidR="006235AE">
        <w:t xml:space="preserve">connect to the TN </w:t>
      </w:r>
      <w:r w:rsidR="0007434F">
        <w:t>with a range</w:t>
      </w:r>
      <w:r w:rsidR="00645E5F">
        <w:t>/radius</w:t>
      </w:r>
      <w:r w:rsidR="0007434F">
        <w:t xml:space="preserve"> of </w:t>
      </w:r>
      <w:r w:rsidR="006235AE">
        <w:t xml:space="preserve">a few </w:t>
      </w:r>
      <w:r w:rsidR="006235AE" w:rsidRPr="00AE3258">
        <w:rPr>
          <w:lang w:val="en-US"/>
        </w:rPr>
        <w:t>kilometers</w:t>
      </w:r>
      <w:r w:rsidR="006235AE">
        <w:t xml:space="preserve">, whereas the satellite cells can be much larger. </w:t>
      </w:r>
      <w:r w:rsidR="00CA2397">
        <w:t>Therefore</w:t>
      </w:r>
      <w:r w:rsidR="0071265B">
        <w:t>,</w:t>
      </w:r>
      <w:r w:rsidR="00CA2397">
        <w:t xml:space="preserve"> not all </w:t>
      </w:r>
      <w:r w:rsidR="00321933">
        <w:t xml:space="preserve">cells from </w:t>
      </w:r>
      <w:r w:rsidR="00CA2397">
        <w:t xml:space="preserve">TN within one </w:t>
      </w:r>
      <w:r w:rsidR="00321933">
        <w:t xml:space="preserve">NTN </w:t>
      </w:r>
      <w:r w:rsidR="00CA2397">
        <w:t>cell might be relevant for a specific UE.</w:t>
      </w:r>
      <w:r w:rsidR="009736E7">
        <w:t xml:space="preserve"> </w:t>
      </w:r>
      <w:r w:rsidR="00C67B58">
        <w:t>Nevertheless</w:t>
      </w:r>
      <w:r w:rsidR="009736E7">
        <w:t>, if the TN information just indicat</w:t>
      </w:r>
      <w:r w:rsidR="00C67B58">
        <w:t>es</w:t>
      </w:r>
      <w:r w:rsidR="009736E7">
        <w:t xml:space="preserve"> a rough area, the amount of data </w:t>
      </w:r>
      <w:r w:rsidR="0032749F">
        <w:t xml:space="preserve">is limited, hence it </w:t>
      </w:r>
      <w:r w:rsidR="008A460A">
        <w:t>should</w:t>
      </w:r>
      <w:r w:rsidR="0032749F">
        <w:t xml:space="preserve"> also be feasible to </w:t>
      </w:r>
      <w:r w:rsidR="00D40AF6">
        <w:t xml:space="preserve">indicate </w:t>
      </w:r>
      <w:r w:rsidR="0071265B">
        <w:t xml:space="preserve">all TN areas in the </w:t>
      </w:r>
      <w:r w:rsidR="00D40AF6">
        <w:t xml:space="preserve">NTN cell. </w:t>
      </w:r>
    </w:p>
    <w:p w14:paraId="2882AB45" w14:textId="729141F2" w:rsidR="00737ABE" w:rsidRPr="00A35CB7" w:rsidRDefault="00737ABE" w:rsidP="00D52BE2">
      <w:pPr>
        <w:jc w:val="both"/>
        <w:rPr>
          <w:b/>
          <w:bCs/>
        </w:rPr>
      </w:pPr>
      <w:r w:rsidRPr="005F3F6F">
        <w:rPr>
          <w:b/>
          <w:bCs/>
        </w:rPr>
        <w:t xml:space="preserve">Observation </w:t>
      </w:r>
      <w:r w:rsidR="00321933" w:rsidRPr="005F3F6F">
        <w:rPr>
          <w:b/>
          <w:bCs/>
        </w:rPr>
        <w:t>2</w:t>
      </w:r>
      <w:r w:rsidRPr="005F3F6F">
        <w:rPr>
          <w:b/>
        </w:rPr>
        <w:t>:</w:t>
      </w:r>
      <w:r w:rsidRPr="00A35CB7">
        <w:rPr>
          <w:b/>
          <w:bCs/>
        </w:rPr>
        <w:t xml:space="preserve"> </w:t>
      </w:r>
      <w:r w:rsidR="003F194C" w:rsidRPr="00A35CB7">
        <w:rPr>
          <w:b/>
          <w:bCs/>
        </w:rPr>
        <w:t xml:space="preserve">The TN coverage does </w:t>
      </w:r>
      <w:r w:rsidR="008159EC" w:rsidRPr="00A35CB7">
        <w:rPr>
          <w:b/>
          <w:bCs/>
        </w:rPr>
        <w:t>rarely</w:t>
      </w:r>
      <w:r w:rsidR="003F194C" w:rsidRPr="00A35CB7">
        <w:rPr>
          <w:b/>
          <w:bCs/>
        </w:rPr>
        <w:t xml:space="preserve"> change</w:t>
      </w:r>
      <w:r w:rsidR="008A460A" w:rsidRPr="00A35CB7">
        <w:rPr>
          <w:b/>
          <w:bCs/>
        </w:rPr>
        <w:t>,</w:t>
      </w:r>
      <w:r w:rsidR="003F194C" w:rsidRPr="00A35CB7">
        <w:rPr>
          <w:b/>
          <w:bCs/>
        </w:rPr>
        <w:t xml:space="preserve"> and it is the same for all UEs.</w:t>
      </w:r>
    </w:p>
    <w:p w14:paraId="25354095" w14:textId="7B2F3831" w:rsidR="00704BB4" w:rsidRDefault="007751E1" w:rsidP="00D52BE2">
      <w:pPr>
        <w:jc w:val="both"/>
      </w:pPr>
      <w:r>
        <w:t xml:space="preserve">In the case of Earth-fixed cell deployment, </w:t>
      </w:r>
      <w:r w:rsidR="00FA70B0">
        <w:t xml:space="preserve">the TN within the coverage area of the cell could be broadcasted. The area could also be extended by few </w:t>
      </w:r>
      <w:r w:rsidR="00517AAB">
        <w:t>kilometres</w:t>
      </w:r>
      <w:r w:rsidR="00FA70B0">
        <w:t xml:space="preserve">, to </w:t>
      </w:r>
      <w:r w:rsidR="004F435D">
        <w:t>include potential TN coverage of cell edge users as well.</w:t>
      </w:r>
      <w:r w:rsidR="00F724D2">
        <w:t xml:space="preserve"> The UE might store this information </w:t>
      </w:r>
      <w:r w:rsidR="00133E0B">
        <w:t>while</w:t>
      </w:r>
      <w:r w:rsidR="004F435D">
        <w:t xml:space="preserve"> it stays in this cell/area</w:t>
      </w:r>
      <w:r w:rsidR="00296161">
        <w:t xml:space="preserve">. </w:t>
      </w:r>
      <w:r w:rsidR="004F435D">
        <w:t xml:space="preserve">In the case of Earth-moving cell deployment, it is </w:t>
      </w:r>
      <w:r w:rsidR="00D704A3">
        <w:t xml:space="preserve">impractical to broadcast </w:t>
      </w:r>
      <w:r w:rsidR="008D1E78">
        <w:t xml:space="preserve">TN coverage information related to the </w:t>
      </w:r>
      <w:r w:rsidR="0030168D">
        <w:t xml:space="preserve">coverage of the NTN cell, as this changes constantly. </w:t>
      </w:r>
      <w:r w:rsidR="00546A06">
        <w:t>I</w:t>
      </w:r>
      <w:r w:rsidR="003B026F">
        <w:t xml:space="preserve">n this case it would be more sensible to provide </w:t>
      </w:r>
      <w:r w:rsidR="005536D2">
        <w:t xml:space="preserve">the TN coverage information either specific to the UE or </w:t>
      </w:r>
      <w:r w:rsidR="00207755">
        <w:t xml:space="preserve">to a certain fixed </w:t>
      </w:r>
      <w:r w:rsidR="00733379">
        <w:t xml:space="preserve">area </w:t>
      </w:r>
      <w:r w:rsidR="00207755">
        <w:t>which is switched once the cells move out of the area.</w:t>
      </w:r>
    </w:p>
    <w:p w14:paraId="62C7EC47" w14:textId="3C218ABD" w:rsidR="005F3F6F" w:rsidRPr="001C1BAC" w:rsidRDefault="005F3F6F" w:rsidP="00D52BE2">
      <w:pPr>
        <w:jc w:val="both"/>
        <w:rPr>
          <w:b/>
          <w:bCs/>
        </w:rPr>
      </w:pPr>
      <w:r w:rsidRPr="001C1BAC">
        <w:rPr>
          <w:b/>
          <w:bCs/>
        </w:rPr>
        <w:t>Observation 3: Providing TN’s coverage via broadcast signalling is not practical for EMC</w:t>
      </w:r>
      <w:r w:rsidR="001C1BAC" w:rsidRPr="001C1BAC">
        <w:rPr>
          <w:b/>
          <w:bCs/>
        </w:rPr>
        <w:t xml:space="preserve"> as the information needs to be referenced to Earth-fixed points.</w:t>
      </w:r>
    </w:p>
    <w:p w14:paraId="06D9BEE6" w14:textId="4642380D" w:rsidR="001C1BAC" w:rsidRDefault="001C1BAC" w:rsidP="00D52BE2">
      <w:pPr>
        <w:jc w:val="both"/>
      </w:pPr>
      <w:r>
        <w:t xml:space="preserve">However, as </w:t>
      </w:r>
      <w:r w:rsidR="009402D0">
        <w:t>the information is common to all UEs</w:t>
      </w:r>
      <w:r w:rsidR="00EC5238">
        <w:t xml:space="preserve"> and as predominantly the IDLE mode UEs need to receive it, we believe broadcast signalling is still a better approach to provide such information. </w:t>
      </w:r>
    </w:p>
    <w:p w14:paraId="76AA9F49" w14:textId="0CCD38C3" w:rsidR="00EC5238" w:rsidRPr="00A35CB7" w:rsidRDefault="00EC5238" w:rsidP="00D52BE2">
      <w:pPr>
        <w:jc w:val="both"/>
        <w:rPr>
          <w:b/>
          <w:bCs/>
        </w:rPr>
      </w:pPr>
      <w:r w:rsidRPr="00A35CB7">
        <w:rPr>
          <w:b/>
          <w:bCs/>
        </w:rPr>
        <w:t xml:space="preserve">Proposal 2: </w:t>
      </w:r>
      <w:r w:rsidR="00CD7766" w:rsidRPr="00A35CB7">
        <w:rPr>
          <w:b/>
          <w:bCs/>
        </w:rPr>
        <w:t xml:space="preserve">Broadcast </w:t>
      </w:r>
      <w:r w:rsidR="00ED35D9" w:rsidRPr="00BF26C9">
        <w:rPr>
          <w:b/>
        </w:rPr>
        <w:t>signalling</w:t>
      </w:r>
      <w:r w:rsidR="00CD7766" w:rsidRPr="00A35CB7">
        <w:rPr>
          <w:b/>
          <w:bCs/>
        </w:rPr>
        <w:t xml:space="preserve"> is used to provide the information on the TN coverage area for UEs supporting NTN.</w:t>
      </w:r>
    </w:p>
    <w:p w14:paraId="28D28E00" w14:textId="77777777" w:rsidR="001328B9" w:rsidRDefault="00CD7766" w:rsidP="00D52BE2">
      <w:pPr>
        <w:jc w:val="both"/>
      </w:pPr>
      <w:r>
        <w:t>If there are UE-specific corrections needed</w:t>
      </w:r>
      <w:r w:rsidR="00D4052A">
        <w:t xml:space="preserve"> to what has been delivered via broadcast signalling, </w:t>
      </w:r>
      <w:r w:rsidR="001328B9">
        <w:t>this can be optionally provided via dedicated signalling.</w:t>
      </w:r>
    </w:p>
    <w:p w14:paraId="0E46DDE2" w14:textId="16A9E372" w:rsidR="00DB1B0E" w:rsidRDefault="001328B9" w:rsidP="00D52BE2">
      <w:pPr>
        <w:jc w:val="both"/>
      </w:pPr>
      <w:r w:rsidRPr="00A35CB7">
        <w:rPr>
          <w:b/>
          <w:bCs/>
        </w:rPr>
        <w:t>Proposal 3:  UE-specific corrections to what has been delivered via broadcast signalling for TN coverage can be optionally provided via dedicated signalling.</w:t>
      </w:r>
    </w:p>
    <w:p w14:paraId="1DC566B4" w14:textId="40A4FB74" w:rsidR="00555516" w:rsidRDefault="00555516" w:rsidP="00D52BE2">
      <w:pPr>
        <w:pStyle w:val="Heading1"/>
        <w:jc w:val="both"/>
      </w:pPr>
      <w:r>
        <w:t>3</w:t>
      </w:r>
      <w:r w:rsidRPr="007438C6">
        <w:tab/>
      </w:r>
      <w:r w:rsidR="00B709A0">
        <w:t>E</w:t>
      </w:r>
      <w:r w:rsidR="00725CE6">
        <w:t xml:space="preserve">xplicit </w:t>
      </w:r>
      <w:r w:rsidR="002976ED">
        <w:t>identification</w:t>
      </w:r>
      <w:r w:rsidR="00B709A0">
        <w:t xml:space="preserve"> of TN cells</w:t>
      </w:r>
    </w:p>
    <w:p w14:paraId="3D4DA3D1" w14:textId="353F58A5" w:rsidR="00CA335B" w:rsidRPr="00A35CB7" w:rsidRDefault="00EB7BD4" w:rsidP="00D52BE2">
      <w:pPr>
        <w:jc w:val="both"/>
        <w:rPr>
          <w:lang w:val="en-US"/>
        </w:rPr>
      </w:pPr>
      <w:r w:rsidRPr="00A35CB7">
        <w:rPr>
          <w:lang w:val="en-US"/>
        </w:rPr>
        <w:t>At RAN2#120 it has been again raised that some explicit means are needed to differentiate TN from NTN cells:</w:t>
      </w:r>
    </w:p>
    <w:tbl>
      <w:tblPr>
        <w:tblStyle w:val="TableGrid"/>
        <w:tblW w:w="0" w:type="auto"/>
        <w:tblLook w:val="04A0" w:firstRow="1" w:lastRow="0" w:firstColumn="1" w:lastColumn="0" w:noHBand="0" w:noVBand="1"/>
      </w:tblPr>
      <w:tblGrid>
        <w:gridCol w:w="9631"/>
      </w:tblGrid>
      <w:tr w:rsidR="00EB7BD4" w:rsidRPr="00040CC5" w14:paraId="1FB005E5" w14:textId="77777777" w:rsidTr="00EB7BD4">
        <w:tc>
          <w:tcPr>
            <w:tcW w:w="9631" w:type="dxa"/>
          </w:tcPr>
          <w:p w14:paraId="16A3A9A6" w14:textId="07799850" w:rsidR="00EB7BD4" w:rsidRPr="00A35CB7" w:rsidRDefault="00EB7BD4" w:rsidP="00D52BE2">
            <w:pPr>
              <w:jc w:val="both"/>
              <w:rPr>
                <w:lang w:val="en-US"/>
              </w:rPr>
            </w:pPr>
            <w:r w:rsidRPr="00040CC5">
              <w:rPr>
                <w:lang w:val="en-US"/>
              </w:rPr>
              <w:t>2.</w:t>
            </w:r>
            <w:r w:rsidRPr="00040CC5">
              <w:rPr>
                <w:lang w:val="en-US"/>
              </w:rPr>
              <w:tab/>
              <w:t>Continue the discussion on whether to introduce explicit indication to identify TN cells from inter-frequency list and inter-RAT frequency list (FFS on the granularity) or whether we rely on implicit information.</w:t>
            </w:r>
          </w:p>
        </w:tc>
      </w:tr>
    </w:tbl>
    <w:p w14:paraId="71F480E5" w14:textId="42FF6C47" w:rsidR="00725CE6" w:rsidRDefault="0040071B" w:rsidP="00D52BE2">
      <w:pPr>
        <w:jc w:val="both"/>
        <w:rPr>
          <w:lang w:val="en-US"/>
        </w:rPr>
      </w:pPr>
      <w:r w:rsidRPr="00A35CB7">
        <w:rPr>
          <w:lang w:val="en-US"/>
        </w:rPr>
        <w:br/>
        <w:t xml:space="preserve">The discussion has been inspired by </w:t>
      </w:r>
      <w:r w:rsidR="00040CC5">
        <w:rPr>
          <w:lang w:val="en-US"/>
        </w:rPr>
        <w:fldChar w:fldCharType="begin"/>
      </w:r>
      <w:r w:rsidR="00040CC5">
        <w:rPr>
          <w:lang w:val="en-US"/>
        </w:rPr>
        <w:instrText xml:space="preserve"> REF _Ref127457551 \r \h </w:instrText>
      </w:r>
      <w:r w:rsidR="00040CC5">
        <w:rPr>
          <w:lang w:val="en-US"/>
        </w:rPr>
      </w:r>
      <w:r w:rsidR="00D52BE2">
        <w:rPr>
          <w:lang w:val="en-US"/>
        </w:rPr>
        <w:instrText xml:space="preserve"> \* MERGEFORMAT </w:instrText>
      </w:r>
      <w:r w:rsidR="00040CC5">
        <w:rPr>
          <w:lang w:val="en-US"/>
        </w:rPr>
        <w:fldChar w:fldCharType="separate"/>
      </w:r>
      <w:r w:rsidR="00040CC5">
        <w:rPr>
          <w:lang w:val="en-US"/>
        </w:rPr>
        <w:t>[3]</w:t>
      </w:r>
      <w:r w:rsidR="00040CC5">
        <w:rPr>
          <w:lang w:val="en-US"/>
        </w:rPr>
        <w:fldChar w:fldCharType="end"/>
      </w:r>
      <w:r w:rsidR="00B34971">
        <w:rPr>
          <w:lang w:val="en-US"/>
        </w:rPr>
        <w:t xml:space="preserve">, wherein new means for relaxing the measurements </w:t>
      </w:r>
      <w:r w:rsidR="002C5966">
        <w:rPr>
          <w:lang w:val="en-US"/>
        </w:rPr>
        <w:t>on TN cells</w:t>
      </w:r>
      <w:r w:rsidR="0046173B">
        <w:rPr>
          <w:lang w:val="en-US"/>
        </w:rPr>
        <w:t xml:space="preserve"> have been proposed. </w:t>
      </w:r>
      <w:r w:rsidR="00813931">
        <w:rPr>
          <w:lang w:val="en-US"/>
        </w:rPr>
        <w:t xml:space="preserve">During RAN2#120 it has been argued that the list of </w:t>
      </w:r>
      <w:proofErr w:type="spellStart"/>
      <w:r w:rsidR="00813931">
        <w:rPr>
          <w:lang w:val="en-US"/>
        </w:rPr>
        <w:t>neighbour</w:t>
      </w:r>
      <w:proofErr w:type="spellEnd"/>
      <w:r w:rsidR="00813931">
        <w:rPr>
          <w:lang w:val="en-US"/>
        </w:rPr>
        <w:t xml:space="preserve"> cells in SIB19 is</w:t>
      </w:r>
      <w:r w:rsidR="0062687B">
        <w:rPr>
          <w:lang w:val="en-US"/>
        </w:rPr>
        <w:t xml:space="preserve"> insufficient to ensure the UE measures </w:t>
      </w:r>
      <w:r w:rsidR="00A30DCF">
        <w:rPr>
          <w:lang w:val="en-US"/>
        </w:rPr>
        <w:t>in an optimized way</w:t>
      </w:r>
      <w:r w:rsidR="00BB65DA">
        <w:rPr>
          <w:lang w:val="en-US"/>
        </w:rPr>
        <w:t xml:space="preserve"> in the presence of both TN and NTN c</w:t>
      </w:r>
      <w:r w:rsidR="00CF2BF6">
        <w:rPr>
          <w:lang w:val="en-US"/>
        </w:rPr>
        <w:t>overage</w:t>
      </w:r>
      <w:r w:rsidR="00BB65DA">
        <w:rPr>
          <w:lang w:val="en-US"/>
        </w:rPr>
        <w:t>.</w:t>
      </w:r>
      <w:r w:rsidR="00FC230A">
        <w:rPr>
          <w:lang w:val="en-US"/>
        </w:rPr>
        <w:t xml:space="preserve"> It was suggested an explicit indication should be inserted into </w:t>
      </w:r>
      <w:r w:rsidR="00725CE6">
        <w:rPr>
          <w:lang w:val="en-US"/>
        </w:rPr>
        <w:t>inter-frequency and inter-RAT lists of cells. However, similar issue was discussed already during Rel-17 work and RAN2 concluded no explicit parameters are needed.</w:t>
      </w:r>
    </w:p>
    <w:p w14:paraId="68346733" w14:textId="77777777" w:rsidR="00291595" w:rsidRPr="00A35CB7" w:rsidRDefault="00725CE6" w:rsidP="00D52BE2">
      <w:pPr>
        <w:jc w:val="both"/>
        <w:rPr>
          <w:b/>
          <w:bCs/>
          <w:lang w:val="en-US"/>
        </w:rPr>
      </w:pPr>
      <w:r w:rsidRPr="00A35CB7">
        <w:rPr>
          <w:b/>
          <w:bCs/>
          <w:lang w:val="en-US"/>
        </w:rPr>
        <w:t>Observation</w:t>
      </w:r>
      <w:r w:rsidR="00291595" w:rsidRPr="00A35CB7">
        <w:rPr>
          <w:b/>
          <w:bCs/>
          <w:lang w:val="en-US"/>
        </w:rPr>
        <w:t xml:space="preserve"> 4: Explicit cell type indication (NTN versus TN) has been discussed during Rel-17 work. The option was not pursued. </w:t>
      </w:r>
    </w:p>
    <w:p w14:paraId="55E10238" w14:textId="77777777" w:rsidR="0002140D" w:rsidRDefault="00291595" w:rsidP="00D52BE2">
      <w:pPr>
        <w:jc w:val="both"/>
        <w:rPr>
          <w:lang w:val="en-US"/>
        </w:rPr>
      </w:pPr>
      <w:r>
        <w:rPr>
          <w:lang w:val="en-US"/>
        </w:rPr>
        <w:t>Please note that SIB19 (a.k.a. NTN-SIB)</w:t>
      </w:r>
      <w:r w:rsidR="00725CE6">
        <w:rPr>
          <w:lang w:val="en-US"/>
        </w:rPr>
        <w:t xml:space="preserve"> </w:t>
      </w:r>
      <w:r>
        <w:rPr>
          <w:lang w:val="en-US"/>
        </w:rPr>
        <w:t xml:space="preserve">contains a list of NTN </w:t>
      </w:r>
      <w:proofErr w:type="spellStart"/>
      <w:r>
        <w:rPr>
          <w:lang w:val="en-US"/>
        </w:rPr>
        <w:t>neighbour</w:t>
      </w:r>
      <w:proofErr w:type="spellEnd"/>
      <w:r>
        <w:rPr>
          <w:lang w:val="en-US"/>
        </w:rPr>
        <w:t xml:space="preserve"> cells (</w:t>
      </w:r>
      <w:r w:rsidR="00CF2A80" w:rsidRPr="00CF2A80">
        <w:rPr>
          <w:lang w:val="en-US"/>
        </w:rPr>
        <w:t>NTN-</w:t>
      </w:r>
      <w:proofErr w:type="spellStart"/>
      <w:r w:rsidR="00CF2A80" w:rsidRPr="00CF2A80">
        <w:rPr>
          <w:lang w:val="en-US"/>
        </w:rPr>
        <w:t>NeighCellConfigList</w:t>
      </w:r>
      <w:proofErr w:type="spellEnd"/>
      <w:r>
        <w:rPr>
          <w:lang w:val="en-US"/>
        </w:rPr>
        <w:t>)</w:t>
      </w:r>
      <w:r w:rsidR="00CF2A80">
        <w:rPr>
          <w:lang w:val="en-US"/>
        </w:rPr>
        <w:t xml:space="preserve">, wherein for each listed cell </w:t>
      </w:r>
      <w:r w:rsidR="00BF74AD">
        <w:rPr>
          <w:lang w:val="en-US"/>
        </w:rPr>
        <w:t xml:space="preserve">there is an information about PCI and carrier frequency. </w:t>
      </w:r>
      <w:r w:rsidR="009D5930">
        <w:rPr>
          <w:lang w:val="en-US"/>
        </w:rPr>
        <w:t xml:space="preserve">As per </w:t>
      </w:r>
      <w:r w:rsidR="0047288A">
        <w:rPr>
          <w:lang w:val="en-US"/>
        </w:rPr>
        <w:t>TS 38.33</w:t>
      </w:r>
      <w:r w:rsidR="00FF573D">
        <w:rPr>
          <w:lang w:val="en-US"/>
        </w:rPr>
        <w:t>1</w:t>
      </w:r>
      <w:r w:rsidR="009D5930">
        <w:rPr>
          <w:lang w:val="en-US"/>
        </w:rPr>
        <w:t xml:space="preserve">, version 17.3.0 (December 2022), there can be up to 8 NTN </w:t>
      </w:r>
      <w:proofErr w:type="spellStart"/>
      <w:r w:rsidR="009D5930">
        <w:rPr>
          <w:lang w:val="en-US"/>
        </w:rPr>
        <w:t>neighbour</w:t>
      </w:r>
      <w:proofErr w:type="spellEnd"/>
      <w:r w:rsidR="009D5930">
        <w:rPr>
          <w:lang w:val="en-US"/>
        </w:rPr>
        <w:t xml:space="preserve"> cells listed.</w:t>
      </w:r>
    </w:p>
    <w:p w14:paraId="3EFA67EC" w14:textId="77777777" w:rsidR="0002140D" w:rsidRPr="00A35CB7" w:rsidRDefault="0002140D" w:rsidP="00D52BE2">
      <w:pPr>
        <w:jc w:val="both"/>
        <w:rPr>
          <w:b/>
          <w:bCs/>
          <w:lang w:val="en-US"/>
        </w:rPr>
      </w:pPr>
      <w:r w:rsidRPr="00A35CB7">
        <w:rPr>
          <w:b/>
          <w:bCs/>
          <w:lang w:val="en-US"/>
        </w:rPr>
        <w:t xml:space="preserve">Observation 5: In SIB19 NTN-capable UE can be provided with up to 8 </w:t>
      </w:r>
      <w:proofErr w:type="spellStart"/>
      <w:r w:rsidRPr="00A35CB7">
        <w:rPr>
          <w:b/>
          <w:bCs/>
          <w:lang w:val="en-US"/>
        </w:rPr>
        <w:t>neighbour</w:t>
      </w:r>
      <w:proofErr w:type="spellEnd"/>
      <w:r w:rsidRPr="00A35CB7">
        <w:rPr>
          <w:b/>
          <w:bCs/>
          <w:lang w:val="en-US"/>
        </w:rPr>
        <w:t xml:space="preserve"> NTN cells. The information includes cell’s PCI and carrier frequency.</w:t>
      </w:r>
    </w:p>
    <w:p w14:paraId="42E77AF7" w14:textId="77777777" w:rsidR="00A562A7" w:rsidRDefault="0002140D" w:rsidP="00D52BE2">
      <w:pPr>
        <w:jc w:val="both"/>
        <w:rPr>
          <w:lang w:val="en-US"/>
        </w:rPr>
      </w:pPr>
      <w:r>
        <w:rPr>
          <w:lang w:val="en-US"/>
        </w:rPr>
        <w:t xml:space="preserve">Besides SIB19, the UE is supposed to receive other System Information </w:t>
      </w:r>
      <w:r w:rsidR="00053FED">
        <w:rPr>
          <w:lang w:val="en-US"/>
        </w:rPr>
        <w:t>B</w:t>
      </w:r>
      <w:r>
        <w:rPr>
          <w:lang w:val="en-US"/>
        </w:rPr>
        <w:t>locks, relevant for various types of cell reselection (i.e. SIB2, SIB3, SIB4 and SIB5).</w:t>
      </w:r>
      <w:r w:rsidR="009D5930">
        <w:rPr>
          <w:lang w:val="en-US"/>
        </w:rPr>
        <w:t xml:space="preserve"> </w:t>
      </w:r>
      <w:r w:rsidR="00053FED">
        <w:rPr>
          <w:lang w:val="en-US"/>
        </w:rPr>
        <w:t xml:space="preserve">Thus, if the UE </w:t>
      </w:r>
      <w:r w:rsidR="00EE4C97">
        <w:rPr>
          <w:lang w:val="en-US"/>
        </w:rPr>
        <w:t xml:space="preserve">reads jointly the information from multiple SIBs, relevant for </w:t>
      </w:r>
      <w:proofErr w:type="spellStart"/>
      <w:r w:rsidR="00EE4C97">
        <w:rPr>
          <w:lang w:val="en-US"/>
        </w:rPr>
        <w:t>neighbour</w:t>
      </w:r>
      <w:proofErr w:type="spellEnd"/>
      <w:r w:rsidR="00EE4C97">
        <w:rPr>
          <w:lang w:val="en-US"/>
        </w:rPr>
        <w:t xml:space="preserve"> cell measurements, it shall know on which frequency carriers there are TN or NTN </w:t>
      </w:r>
      <w:proofErr w:type="spellStart"/>
      <w:r w:rsidR="00EE4C97">
        <w:rPr>
          <w:lang w:val="en-US"/>
        </w:rPr>
        <w:t>neighbours</w:t>
      </w:r>
      <w:proofErr w:type="spellEnd"/>
      <w:r w:rsidR="00EE4C97">
        <w:rPr>
          <w:lang w:val="en-US"/>
        </w:rPr>
        <w:t xml:space="preserve">. </w:t>
      </w:r>
    </w:p>
    <w:p w14:paraId="43E78564" w14:textId="5DC0064C" w:rsidR="00EB7BD4" w:rsidRPr="00A35CB7" w:rsidRDefault="00A562A7" w:rsidP="00D52BE2">
      <w:pPr>
        <w:jc w:val="both"/>
        <w:rPr>
          <w:b/>
          <w:lang w:val="en-US"/>
        </w:rPr>
      </w:pPr>
      <w:r w:rsidRPr="00A35CB7">
        <w:rPr>
          <w:b/>
          <w:bCs/>
          <w:lang w:val="en-US"/>
        </w:rPr>
        <w:t xml:space="preserve">Observation 6: </w:t>
      </w:r>
      <w:r w:rsidR="00291595" w:rsidRPr="00A35CB7">
        <w:rPr>
          <w:b/>
          <w:bCs/>
          <w:lang w:val="en-US"/>
        </w:rPr>
        <w:t xml:space="preserve"> </w:t>
      </w:r>
      <w:r w:rsidRPr="00A35CB7">
        <w:rPr>
          <w:b/>
          <w:bCs/>
          <w:lang w:val="en-US"/>
        </w:rPr>
        <w:t xml:space="preserve">Thanks to the information available in SIB2, SIB3, SIB4, SIB5 and SIB19 UE knows on which frequency carriers there are TN or NTN </w:t>
      </w:r>
      <w:proofErr w:type="spellStart"/>
      <w:r w:rsidRPr="00A35CB7">
        <w:rPr>
          <w:b/>
          <w:bCs/>
          <w:lang w:val="en-US"/>
        </w:rPr>
        <w:t>neighbours</w:t>
      </w:r>
      <w:proofErr w:type="spellEnd"/>
      <w:r w:rsidRPr="00A35CB7">
        <w:rPr>
          <w:b/>
          <w:bCs/>
          <w:lang w:val="en-US"/>
        </w:rPr>
        <w:t>.</w:t>
      </w:r>
    </w:p>
    <w:p w14:paraId="210A9818" w14:textId="789C8FC1" w:rsidR="00A562A7" w:rsidRDefault="00A562A7" w:rsidP="00D52BE2">
      <w:pPr>
        <w:jc w:val="both"/>
        <w:rPr>
          <w:lang w:val="en-US"/>
        </w:rPr>
      </w:pPr>
      <w:r>
        <w:rPr>
          <w:lang w:val="en-US"/>
        </w:rPr>
        <w:t xml:space="preserve">The aforementioned principle shall work even if the TN and NTN are deployed on the same carrier. The UE </w:t>
      </w:r>
      <w:r w:rsidR="00EF37A7">
        <w:rPr>
          <w:lang w:val="en-US"/>
        </w:rPr>
        <w:t xml:space="preserve">may </w:t>
      </w:r>
      <w:r w:rsidR="00D16DF4">
        <w:rPr>
          <w:lang w:val="en-US"/>
        </w:rPr>
        <w:t xml:space="preserve">tell which cells are of TN type by excluding those that have been listed in SIB19.  Thus, we do not think there is a justification for any additional means to tell if the cell is TN or NTN. </w:t>
      </w:r>
    </w:p>
    <w:p w14:paraId="196AE4CD" w14:textId="063050B2" w:rsidR="00CA335B" w:rsidRPr="00CA335B" w:rsidRDefault="00D16DF4" w:rsidP="00D52BE2">
      <w:pPr>
        <w:jc w:val="both"/>
        <w:rPr>
          <w:highlight w:val="yellow"/>
          <w:lang w:val="en-US"/>
        </w:rPr>
      </w:pPr>
      <w:r w:rsidRPr="00A35CB7">
        <w:rPr>
          <w:b/>
          <w:bCs/>
          <w:lang w:val="en-US"/>
        </w:rPr>
        <w:t>Proposal 4: RAN2 does not pursue any so</w:t>
      </w:r>
      <w:r w:rsidR="00452F00" w:rsidRPr="00A35CB7">
        <w:rPr>
          <w:b/>
          <w:bCs/>
          <w:lang w:val="en-US"/>
        </w:rPr>
        <w:t>lution for explicit indication to identify TN cells from inter-frequency list or inter-RAT frequency lists.</w:t>
      </w:r>
    </w:p>
    <w:p w14:paraId="111DA3DA" w14:textId="065CF53D" w:rsidR="00A51873" w:rsidRDefault="00555516" w:rsidP="00D52BE2">
      <w:pPr>
        <w:pStyle w:val="Heading1"/>
        <w:jc w:val="both"/>
      </w:pPr>
      <w:r>
        <w:t>4</w:t>
      </w:r>
      <w:r w:rsidR="00A51873">
        <w:tab/>
      </w:r>
      <w:r w:rsidR="00DE57BF">
        <w:t xml:space="preserve">Locating NTN UEs at the border of </w:t>
      </w:r>
      <w:r w:rsidR="00A51873">
        <w:t>TN</w:t>
      </w:r>
      <w:r w:rsidR="00DE57BF">
        <w:t xml:space="preserve"> cell</w:t>
      </w:r>
    </w:p>
    <w:p w14:paraId="3923A1A9" w14:textId="1AF87599" w:rsidR="00A51873" w:rsidRDefault="00A51873" w:rsidP="00D52BE2">
      <w:pPr>
        <w:jc w:val="both"/>
        <w:rPr>
          <w:lang w:val="en-US"/>
        </w:rPr>
      </w:pPr>
      <w:r>
        <w:rPr>
          <w:lang w:val="en-US"/>
        </w:rPr>
        <w:t>The following was agreed in the RAN2#119bis meeting:</w:t>
      </w:r>
    </w:p>
    <w:tbl>
      <w:tblPr>
        <w:tblStyle w:val="TableGrid"/>
        <w:tblW w:w="0" w:type="auto"/>
        <w:tblLook w:val="04A0" w:firstRow="1" w:lastRow="0" w:firstColumn="1" w:lastColumn="0" w:noHBand="0" w:noVBand="1"/>
      </w:tblPr>
      <w:tblGrid>
        <w:gridCol w:w="9631"/>
      </w:tblGrid>
      <w:tr w:rsidR="00A51873" w14:paraId="50D79C36" w14:textId="77777777" w:rsidTr="00A51873">
        <w:tc>
          <w:tcPr>
            <w:tcW w:w="9631" w:type="dxa"/>
            <w:tcBorders>
              <w:top w:val="single" w:sz="4" w:space="0" w:color="auto"/>
              <w:left w:val="single" w:sz="4" w:space="0" w:color="auto"/>
              <w:bottom w:val="single" w:sz="4" w:space="0" w:color="auto"/>
              <w:right w:val="single" w:sz="4" w:space="0" w:color="auto"/>
            </w:tcBorders>
          </w:tcPr>
          <w:p w14:paraId="26FDA477" w14:textId="77777777" w:rsidR="00A51873" w:rsidRDefault="00A51873" w:rsidP="00D52BE2">
            <w:pPr>
              <w:jc w:val="both"/>
              <w:rPr>
                <w:lang w:val="en-US" w:eastAsia="en-GB"/>
              </w:rPr>
            </w:pPr>
            <w:r>
              <w:rPr>
                <w:lang w:val="en-US" w:eastAsia="en-GB"/>
              </w:rPr>
              <w:t>Agreement:</w:t>
            </w:r>
          </w:p>
          <w:p w14:paraId="6B9B3B6D" w14:textId="77777777" w:rsidR="00A51873" w:rsidRDefault="00A51873" w:rsidP="00D52BE2">
            <w:pPr>
              <w:pStyle w:val="ListParagraph"/>
              <w:numPr>
                <w:ilvl w:val="0"/>
                <w:numId w:val="14"/>
              </w:numPr>
              <w:jc w:val="both"/>
              <w:rPr>
                <w:lang w:val="en-US" w:eastAsia="en-GB"/>
              </w:rPr>
            </w:pPr>
            <w:r>
              <w:rPr>
                <w:lang w:eastAsia="en-GB"/>
              </w:rPr>
              <w:t>To enhance NTN-TN cell reselection, means are defined for a UE to differentiate when camping in an area only covered by NTN network (earth-moving or earth-fixed) vs an area where TN network(s) is/are also available.</w:t>
            </w:r>
          </w:p>
          <w:p w14:paraId="3D43A867" w14:textId="77777777" w:rsidR="00A51873" w:rsidRDefault="00A51873" w:rsidP="00D52BE2">
            <w:pPr>
              <w:pStyle w:val="ListParagraph"/>
              <w:ind w:left="360"/>
              <w:jc w:val="both"/>
              <w:rPr>
                <w:lang w:val="en-US" w:eastAsia="en-GB"/>
              </w:rPr>
            </w:pPr>
          </w:p>
          <w:p w14:paraId="67A04F28" w14:textId="77777777" w:rsidR="00A51873" w:rsidRDefault="00A51873" w:rsidP="00D52BE2">
            <w:pPr>
              <w:pStyle w:val="ListParagraph"/>
              <w:numPr>
                <w:ilvl w:val="0"/>
                <w:numId w:val="14"/>
              </w:numPr>
              <w:jc w:val="both"/>
              <w:rPr>
                <w:lang w:val="en-US" w:eastAsia="en-GB"/>
              </w:rPr>
            </w:pPr>
            <w:r>
              <w:rPr>
                <w:lang w:eastAsia="en-GB"/>
              </w:rPr>
              <w:t>UE is not required to perform neighbour cell measurements for TN neighbour cells in an area where there is no TN network coverage.</w:t>
            </w:r>
          </w:p>
          <w:p w14:paraId="0C09A646" w14:textId="77777777" w:rsidR="00A51873" w:rsidRDefault="00A51873" w:rsidP="00D52BE2">
            <w:pPr>
              <w:pStyle w:val="ListParagraph"/>
              <w:jc w:val="both"/>
              <w:rPr>
                <w:lang w:val="en-US" w:eastAsia="en-GB"/>
              </w:rPr>
            </w:pPr>
          </w:p>
          <w:p w14:paraId="693C7EC1" w14:textId="77777777" w:rsidR="00A51873" w:rsidRDefault="00A51873" w:rsidP="00D52BE2">
            <w:pPr>
              <w:pStyle w:val="ListParagraph"/>
              <w:numPr>
                <w:ilvl w:val="0"/>
                <w:numId w:val="14"/>
              </w:numPr>
              <w:jc w:val="both"/>
              <w:rPr>
                <w:lang w:val="en-US" w:eastAsia="en-GB"/>
              </w:rPr>
            </w:pPr>
            <w:r>
              <w:rPr>
                <w:lang w:eastAsia="en-GB"/>
              </w:rPr>
              <w:t>The method of detecting the transmission energy or SIB presence to determine the NTN coverage when a UE - currently camps on a TN cell is not pursued.</w:t>
            </w:r>
          </w:p>
        </w:tc>
      </w:tr>
    </w:tbl>
    <w:p w14:paraId="7A90A53F" w14:textId="77777777" w:rsidR="00A51873" w:rsidRDefault="00A51873" w:rsidP="00D52BE2">
      <w:pPr>
        <w:jc w:val="both"/>
        <w:rPr>
          <w:lang w:val="en-US"/>
        </w:rPr>
      </w:pPr>
      <w:r>
        <w:br/>
        <w:t>Following previous RAN2 discussions, it has been recognised that in a scenario with UE which is under TN coverage, it would be beneficial to start searching for NTN cells only when needed. Vice versa, a UE under NTN coverage could benefit from re-selecting to a TN cell when the UE is located close enough to the TN coverage area. In both scenarios, the unnecessary UE cell search (for TN or NTN) should be avoided to minimize the UE power consumption.</w:t>
      </w:r>
    </w:p>
    <w:p w14:paraId="1A2055BA" w14:textId="48C41EC3" w:rsidR="00A51873" w:rsidRDefault="00A51873" w:rsidP="00D52BE2">
      <w:pPr>
        <w:jc w:val="both"/>
        <w:rPr>
          <w:b/>
          <w:bCs/>
        </w:rPr>
      </w:pPr>
      <w:r>
        <w:rPr>
          <w:b/>
          <w:bCs/>
        </w:rPr>
        <w:t xml:space="preserve">Observation </w:t>
      </w:r>
      <w:r w:rsidR="00160A22">
        <w:rPr>
          <w:b/>
          <w:bCs/>
        </w:rPr>
        <w:t>7</w:t>
      </w:r>
      <w:r>
        <w:rPr>
          <w:b/>
          <w:bCs/>
        </w:rPr>
        <w:t xml:space="preserve">: It is beneficial for the power saving purposes if the UE can measure for NTN or TN coverage only when relevant. </w:t>
      </w:r>
    </w:p>
    <w:p w14:paraId="65859384" w14:textId="77777777" w:rsidR="00A51873" w:rsidRDefault="00A51873" w:rsidP="00D52BE2">
      <w:pPr>
        <w:jc w:val="both"/>
      </w:pPr>
      <w:r>
        <w:t>As indicated above, it was also agreed, that the method of detecting the transmission energy or SIB presence to determine NTN coverage is not pursued. However, we believe that this approach has not been fully understood. Hence, we want to add more explanation in the following paragraph.</w:t>
      </w:r>
    </w:p>
    <w:p w14:paraId="50790BB7" w14:textId="2DF60D8D" w:rsidR="00A51873" w:rsidRDefault="00A51873" w:rsidP="00D52BE2">
      <w:pPr>
        <w:jc w:val="both"/>
      </w:pPr>
      <w:r>
        <w:t>Let us consider the scenario, where there is an NTN user close to the TN coverage. The TN cell can detect this NTN user in its vicinity, e.g. based on transmission energy detection and/or reception/decoding of the NTN SIB. With this knowledge, the TN can notify the NTN that a</w:t>
      </w:r>
      <w:r w:rsidR="00DE57BF">
        <w:t>n</w:t>
      </w:r>
      <w:r>
        <w:t xml:space="preserve"> NTN-connected UE is in TN coverage, thereby aiding the reselection/cell change. Hence, this method is not to determine the NTN coverage, but to find an NTN UE within/at the border of TN coverage.</w:t>
      </w:r>
    </w:p>
    <w:p w14:paraId="3B5A3779" w14:textId="0A28A998" w:rsidR="00A51873" w:rsidRDefault="00A51873" w:rsidP="00D52BE2">
      <w:pPr>
        <w:jc w:val="both"/>
        <w:rPr>
          <w:b/>
          <w:bCs/>
        </w:rPr>
      </w:pPr>
      <w:r>
        <w:rPr>
          <w:b/>
        </w:rPr>
        <w:t xml:space="preserve">Proposal </w:t>
      </w:r>
      <w:r>
        <w:rPr>
          <w:b/>
          <w:bCs/>
        </w:rPr>
        <w:t>5</w:t>
      </w:r>
      <w:r>
        <w:rPr>
          <w:b/>
        </w:rPr>
        <w:t>: RAN2 is asked to re-consider the method of detecting the transmission energy or SIB presence</w:t>
      </w:r>
      <w:r>
        <w:rPr>
          <w:b/>
          <w:bCs/>
        </w:rPr>
        <w:t xml:space="preserve"> to find NTN UEs at the border of TN coverage</w:t>
      </w:r>
      <w:r>
        <w:rPr>
          <w:b/>
        </w:rPr>
        <w:t>.</w:t>
      </w:r>
    </w:p>
    <w:p w14:paraId="55175D1D" w14:textId="2D530133" w:rsidR="00B70C6C" w:rsidRDefault="00B70C6C" w:rsidP="00D52BE2">
      <w:pPr>
        <w:pStyle w:val="Heading1"/>
        <w:jc w:val="both"/>
      </w:pPr>
      <w:r>
        <w:t xml:space="preserve">5 </w:t>
      </w:r>
      <w:r>
        <w:tab/>
        <w:t>NTN-TN cell-reselection in RRC_INACTIVE state</w:t>
      </w:r>
    </w:p>
    <w:p w14:paraId="7C5C0C61" w14:textId="77777777" w:rsidR="00B70C6C" w:rsidRDefault="00B70C6C" w:rsidP="00D52BE2">
      <w:pPr>
        <w:jc w:val="both"/>
      </w:pPr>
      <w:r>
        <w:t>A UE served by the NTN may perform RRC_INACTIVE state cell re-selection to a TN cell. As per the following SA2 agreements made in the context of NTN:</w:t>
      </w:r>
    </w:p>
    <w:p w14:paraId="7253E630" w14:textId="77777777" w:rsidR="00B70C6C" w:rsidRDefault="00B70C6C" w:rsidP="00D52BE2">
      <w:pPr>
        <w:pStyle w:val="ListParagraph"/>
        <w:numPr>
          <w:ilvl w:val="0"/>
          <w:numId w:val="21"/>
        </w:numPr>
        <w:jc w:val="both"/>
      </w:pPr>
      <w:r>
        <w:t xml:space="preserve">Clause 5.4.11.2 [1]: In case of NR satellite access, the RAT Types values "NR(LEO)", "NR(MEO)", "NR(GEO)" and "NR(OTHERSAT)" are used in 5GC to distinguish the different NR satellite access. </w:t>
      </w:r>
    </w:p>
    <w:p w14:paraId="17B2B082" w14:textId="77777777" w:rsidR="00B70C6C" w:rsidRDefault="00B70C6C" w:rsidP="00D52BE2">
      <w:pPr>
        <w:pStyle w:val="ListParagraph"/>
        <w:numPr>
          <w:ilvl w:val="0"/>
          <w:numId w:val="21"/>
        </w:numPr>
        <w:jc w:val="both"/>
      </w:pPr>
      <w:r>
        <w:t>Clause 5.4.10 [1]: 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3D2A2273" w14:textId="77777777" w:rsidR="00B70C6C" w:rsidRDefault="00B70C6C" w:rsidP="00D52BE2">
      <w:pPr>
        <w:jc w:val="both"/>
      </w:pPr>
      <w:r>
        <w:t>The above agreements imply that, each NTN RAT Type e.g. NR(LEO), NR(GEO) etc. must be configured with non-overlapping Tracking Area (TA) or the CN Registration Area or simply Mobility Registration Area (MRA). Which means that for the NTN and TN overlapping scenarios, the TA or MRA of NTN and TN must be clearly defined without an overlap.</w:t>
      </w:r>
    </w:p>
    <w:p w14:paraId="14786A99" w14:textId="54FEDBDF" w:rsidR="00B70C6C" w:rsidRDefault="00B70C6C" w:rsidP="00D52BE2">
      <w:pPr>
        <w:jc w:val="both"/>
        <w:rPr>
          <w:b/>
          <w:bCs/>
        </w:rPr>
      </w:pPr>
      <w:r>
        <w:rPr>
          <w:b/>
          <w:bCs/>
        </w:rPr>
        <w:t xml:space="preserve">Observation </w:t>
      </w:r>
      <w:r w:rsidR="00881DE2">
        <w:rPr>
          <w:b/>
          <w:bCs/>
        </w:rPr>
        <w:t>8</w:t>
      </w:r>
      <w:r>
        <w:rPr>
          <w:b/>
          <w:bCs/>
        </w:rPr>
        <w:t xml:space="preserve">: Each NTN RAT Type e.g. NR(LEO), NR(GEO) etc. must be configured with non-overlapping Tracking Area (TA) or the CN Registration Area or simply Mobility Registration Area (MRA). </w:t>
      </w:r>
    </w:p>
    <w:p w14:paraId="6A9E3ABC" w14:textId="5045E7EE" w:rsidR="00B70C6C" w:rsidRDefault="00B70C6C" w:rsidP="00D52BE2">
      <w:pPr>
        <w:jc w:val="both"/>
        <w:rPr>
          <w:b/>
          <w:bCs/>
        </w:rPr>
      </w:pPr>
      <w:r>
        <w:rPr>
          <w:b/>
          <w:bCs/>
        </w:rPr>
        <w:t xml:space="preserve">Observation </w:t>
      </w:r>
      <w:r w:rsidR="00881DE2">
        <w:rPr>
          <w:b/>
          <w:bCs/>
        </w:rPr>
        <w:t>9</w:t>
      </w:r>
      <w:r>
        <w:rPr>
          <w:b/>
          <w:bCs/>
        </w:rPr>
        <w:t>: For the NTN and TN overlapping scenarios, the TA or MRA of NTN and TN must be clearly defined without an overlap.</w:t>
      </w:r>
    </w:p>
    <w:p w14:paraId="53401F41" w14:textId="77777777" w:rsidR="00B70C6C" w:rsidRDefault="00B70C6C" w:rsidP="00D52BE2">
      <w:pPr>
        <w:jc w:val="both"/>
      </w:pPr>
      <w:r>
        <w:t>Following deployment scenarios may be possible for NTN:</w:t>
      </w:r>
    </w:p>
    <w:p w14:paraId="5DFBDC19" w14:textId="77777777" w:rsidR="00B70C6C" w:rsidRDefault="00B70C6C" w:rsidP="00D52BE2">
      <w:pPr>
        <w:pStyle w:val="ListParagraph"/>
        <w:numPr>
          <w:ilvl w:val="0"/>
          <w:numId w:val="22"/>
        </w:numPr>
        <w:spacing w:after="0"/>
        <w:jc w:val="both"/>
      </w:pPr>
      <w:r>
        <w:t>NTN deployed with PLMN different from TN</w:t>
      </w:r>
    </w:p>
    <w:p w14:paraId="2237A2F8" w14:textId="77777777" w:rsidR="00B70C6C" w:rsidRDefault="00B70C6C" w:rsidP="00D52BE2">
      <w:pPr>
        <w:pStyle w:val="ListParagraph"/>
        <w:numPr>
          <w:ilvl w:val="0"/>
          <w:numId w:val="22"/>
        </w:numPr>
        <w:spacing w:after="0"/>
        <w:jc w:val="both"/>
      </w:pPr>
      <w:r>
        <w:t>NTN and TN deployed with Equivalent PLMN (EPLMN)</w:t>
      </w:r>
    </w:p>
    <w:p w14:paraId="4B73CF8C" w14:textId="77777777" w:rsidR="00B70C6C" w:rsidRDefault="00B70C6C" w:rsidP="00D52BE2">
      <w:pPr>
        <w:pStyle w:val="ListParagraph"/>
        <w:numPr>
          <w:ilvl w:val="0"/>
          <w:numId w:val="22"/>
        </w:numPr>
        <w:spacing w:after="0"/>
        <w:jc w:val="both"/>
      </w:pPr>
      <w:r>
        <w:t>NTN and TN deployed with common PLMN</w:t>
      </w:r>
    </w:p>
    <w:p w14:paraId="34EE0454" w14:textId="77777777" w:rsidR="00B70C6C" w:rsidRDefault="00B70C6C" w:rsidP="00D52BE2">
      <w:pPr>
        <w:spacing w:after="0"/>
        <w:jc w:val="both"/>
      </w:pPr>
    </w:p>
    <w:p w14:paraId="2A28D585" w14:textId="77777777" w:rsidR="00B70C6C" w:rsidRDefault="00B70C6C" w:rsidP="00D52BE2">
      <w:pPr>
        <w:spacing w:after="0"/>
        <w:jc w:val="both"/>
      </w:pPr>
      <w:r>
        <w:t>If we consider NTN and TN overlapping scenarios for an RRC_INACTIVE state UE, the following scenarios are most likely:</w:t>
      </w:r>
    </w:p>
    <w:p w14:paraId="7B942255" w14:textId="77777777" w:rsidR="00B70C6C" w:rsidRDefault="00B70C6C" w:rsidP="00D52BE2">
      <w:pPr>
        <w:pStyle w:val="ListParagraph"/>
        <w:numPr>
          <w:ilvl w:val="0"/>
          <w:numId w:val="21"/>
        </w:numPr>
        <w:spacing w:after="0"/>
        <w:jc w:val="both"/>
      </w:pPr>
      <w:r>
        <w:t>RRC_INACTIVE state UE served by NTN cell re-selects a TN cell,</w:t>
      </w:r>
    </w:p>
    <w:p w14:paraId="7CF620F8" w14:textId="77777777" w:rsidR="00B70C6C" w:rsidRDefault="00B70C6C" w:rsidP="00D52BE2">
      <w:pPr>
        <w:pStyle w:val="ListParagraph"/>
        <w:numPr>
          <w:ilvl w:val="0"/>
          <w:numId w:val="21"/>
        </w:numPr>
        <w:spacing w:after="0"/>
        <w:jc w:val="both"/>
      </w:pPr>
      <w:r>
        <w:t>RRC_INACTIVE state UE served by TN cell re-selects an NTN cell</w:t>
      </w:r>
    </w:p>
    <w:p w14:paraId="095BC14F" w14:textId="77777777" w:rsidR="00B70C6C" w:rsidRDefault="00B70C6C" w:rsidP="00D52BE2">
      <w:pPr>
        <w:spacing w:after="0"/>
        <w:jc w:val="both"/>
      </w:pPr>
    </w:p>
    <w:p w14:paraId="2013A6E1" w14:textId="77777777" w:rsidR="00B70C6C" w:rsidRDefault="00B70C6C" w:rsidP="00D52BE2">
      <w:pPr>
        <w:spacing w:after="0"/>
        <w:jc w:val="both"/>
      </w:pPr>
      <w:r>
        <w:t>In both the above-mentioned likely scenarios, it may be desirable to allow a UE in RRC_INACTIVE state to re-select from NTN cell to TN cell or vice-versa without a RRC state transition i.e., either to RRC_CONNECTED or to RRC_IDLE while preserving the existing PDU sessions and configured DRBs.</w:t>
      </w:r>
    </w:p>
    <w:p w14:paraId="2CF5BB8A" w14:textId="77777777" w:rsidR="00B70C6C" w:rsidRDefault="00B70C6C" w:rsidP="00D52BE2">
      <w:pPr>
        <w:spacing w:after="0"/>
        <w:jc w:val="both"/>
      </w:pPr>
    </w:p>
    <w:p w14:paraId="6A2860A4" w14:textId="24DF8136" w:rsidR="00B70C6C" w:rsidRDefault="00B70C6C" w:rsidP="00D52BE2">
      <w:pPr>
        <w:spacing w:after="0"/>
        <w:jc w:val="both"/>
        <w:rPr>
          <w:b/>
          <w:bCs/>
        </w:rPr>
      </w:pPr>
      <w:r>
        <w:rPr>
          <w:b/>
          <w:bCs/>
        </w:rPr>
        <w:t xml:space="preserve">Observation </w:t>
      </w:r>
      <w:r w:rsidR="00881DE2">
        <w:rPr>
          <w:b/>
          <w:bCs/>
        </w:rPr>
        <w:t>10</w:t>
      </w:r>
      <w:r>
        <w:rPr>
          <w:b/>
          <w:bCs/>
        </w:rPr>
        <w:t>: It may be desirable to allow a UE in RRC_INACTIVE state to re-select from NTN cell to TN cell or vice-versa without a RRC state transition i.e., either to RRC_CONNECTED or to RRC_IDLE.</w:t>
      </w:r>
    </w:p>
    <w:p w14:paraId="6556BA16" w14:textId="1F5EC6FE" w:rsidR="000C1AA1" w:rsidRDefault="000C1AA1" w:rsidP="00D52BE2">
      <w:pPr>
        <w:spacing w:after="0"/>
        <w:jc w:val="both"/>
        <w:rPr>
          <w:b/>
          <w:bCs/>
        </w:rPr>
      </w:pPr>
    </w:p>
    <w:p w14:paraId="1204D318" w14:textId="2D6CAFBD" w:rsidR="000C1AA1" w:rsidRDefault="000C1AA1" w:rsidP="00D52BE2">
      <w:pPr>
        <w:spacing w:after="0"/>
        <w:jc w:val="both"/>
        <w:rPr>
          <w:b/>
          <w:bCs/>
        </w:rPr>
      </w:pPr>
      <w:r>
        <w:rPr>
          <w:b/>
          <w:bCs/>
        </w:rPr>
        <w:t xml:space="preserve">Observation </w:t>
      </w:r>
      <w:r w:rsidR="00881DE2">
        <w:rPr>
          <w:b/>
          <w:bCs/>
        </w:rPr>
        <w:t>11</w:t>
      </w:r>
      <w:r>
        <w:rPr>
          <w:b/>
          <w:bCs/>
        </w:rPr>
        <w:t>: Avoiding RRC_IDLE transition for a UE in RRC_INACTIVE state upon re-selection from NTN to TN or vice-versa shall save an unwanted RRC Re-establishment.</w:t>
      </w:r>
    </w:p>
    <w:p w14:paraId="2A1066AB" w14:textId="77777777" w:rsidR="00B70C6C" w:rsidRDefault="00B70C6C" w:rsidP="00D52BE2">
      <w:pPr>
        <w:spacing w:after="0"/>
        <w:jc w:val="both"/>
      </w:pPr>
    </w:p>
    <w:p w14:paraId="523F87F6" w14:textId="77777777" w:rsidR="00B70C6C" w:rsidRDefault="00B70C6C" w:rsidP="00D52BE2">
      <w:pPr>
        <w:spacing w:after="0"/>
        <w:jc w:val="both"/>
      </w:pPr>
      <w:r>
        <w:t xml:space="preserve">Due to SA2 agreements for NTN, as captured above, when an RRC_INACTIVE state UE re-selects from NTN cell to TN cell or vice-versa, UE must trigger Mobility Registration Area Update procedure to inform the AMF that it has entered a new Tracking Area (TA) or Mobility Registration Area (MRA). </w:t>
      </w:r>
    </w:p>
    <w:p w14:paraId="6A4FBA09" w14:textId="77777777" w:rsidR="00B70C6C" w:rsidRDefault="00B70C6C" w:rsidP="00D52BE2">
      <w:pPr>
        <w:spacing w:after="0"/>
        <w:jc w:val="both"/>
      </w:pPr>
    </w:p>
    <w:p w14:paraId="0FA0EB07" w14:textId="3D9EA533" w:rsidR="00B70C6C" w:rsidRDefault="00B70C6C" w:rsidP="00D52BE2">
      <w:pPr>
        <w:spacing w:after="0"/>
        <w:jc w:val="both"/>
        <w:rPr>
          <w:b/>
          <w:bCs/>
        </w:rPr>
      </w:pPr>
      <w:r>
        <w:rPr>
          <w:b/>
          <w:bCs/>
        </w:rPr>
        <w:t xml:space="preserve">Observation </w:t>
      </w:r>
      <w:r w:rsidR="00881DE2">
        <w:rPr>
          <w:b/>
          <w:bCs/>
        </w:rPr>
        <w:t>12</w:t>
      </w:r>
      <w:r>
        <w:rPr>
          <w:b/>
          <w:bCs/>
        </w:rPr>
        <w:t>: When an RRC_INACTIVE state UE re-selects from NTN cell to TN cell or vice-versa, UE must trigger Mobility Registration Area Update procedure to inform the AMF that it has entered a new Tracking Area (TA) or Mobility Registration Area (MRA).</w:t>
      </w:r>
    </w:p>
    <w:p w14:paraId="2B651368" w14:textId="77777777" w:rsidR="00B70C6C" w:rsidRDefault="00B70C6C" w:rsidP="00D52BE2">
      <w:pPr>
        <w:spacing w:after="0"/>
        <w:jc w:val="both"/>
        <w:rPr>
          <w:b/>
          <w:bCs/>
        </w:rPr>
      </w:pPr>
    </w:p>
    <w:p w14:paraId="5989DD9A" w14:textId="3D745DD2" w:rsidR="00A51873" w:rsidRPr="00375D3C" w:rsidRDefault="00B70C6C" w:rsidP="00D52BE2">
      <w:pPr>
        <w:spacing w:after="0"/>
        <w:jc w:val="both"/>
        <w:rPr>
          <w:b/>
          <w:bCs/>
        </w:rPr>
      </w:pPr>
      <w:r>
        <w:rPr>
          <w:b/>
          <w:bCs/>
        </w:rPr>
        <w:t xml:space="preserve">Proposal </w:t>
      </w:r>
      <w:r w:rsidR="00881DE2">
        <w:rPr>
          <w:b/>
          <w:bCs/>
        </w:rPr>
        <w:t>6</w:t>
      </w:r>
      <w:r>
        <w:rPr>
          <w:b/>
          <w:bCs/>
        </w:rPr>
        <w:t>: RAN2 to discuss how to enable an RRC_INACTIVE state UE to re-select from NTN cell to TN cell or vice-versa without an RRC state transition to RRC_CONNECTED or to RRC_IDLE, while preserving the PDU sessions and configured DRBs.</w:t>
      </w:r>
    </w:p>
    <w:p w14:paraId="69B7B8E6" w14:textId="18CF38C1" w:rsidR="009339CB" w:rsidRPr="007438C6" w:rsidRDefault="00CC70B4" w:rsidP="00D52BE2">
      <w:pPr>
        <w:pStyle w:val="Heading1"/>
        <w:jc w:val="both"/>
      </w:pPr>
      <w:r>
        <w:t>6</w:t>
      </w:r>
      <w:r w:rsidR="009339CB" w:rsidRPr="007438C6">
        <w:tab/>
        <w:t>Conclusion</w:t>
      </w:r>
    </w:p>
    <w:p w14:paraId="35F222F4" w14:textId="60C101ED" w:rsidR="00080512" w:rsidRDefault="00881DE2" w:rsidP="00D52BE2">
      <w:pPr>
        <w:jc w:val="both"/>
      </w:pPr>
      <w:r>
        <w:t>In this paper the follow proposals and observations on IDLE mode NTN have been made:</w:t>
      </w:r>
    </w:p>
    <w:p w14:paraId="583DA5BF" w14:textId="77777777" w:rsidR="00CC70B4" w:rsidRPr="00624E3B" w:rsidRDefault="00CC70B4" w:rsidP="00D52BE2">
      <w:pPr>
        <w:jc w:val="both"/>
        <w:rPr>
          <w:b/>
          <w:bCs/>
        </w:rPr>
      </w:pPr>
      <w:r w:rsidRPr="008B2F7D">
        <w:rPr>
          <w:b/>
          <w:bCs/>
        </w:rPr>
        <w:t xml:space="preserve">Observation </w:t>
      </w:r>
      <w:r w:rsidRPr="003D1188">
        <w:rPr>
          <w:b/>
          <w:bCs/>
        </w:rPr>
        <w:t>1</w:t>
      </w:r>
      <w:r w:rsidRPr="008B2F7D">
        <w:rPr>
          <w:b/>
        </w:rPr>
        <w:t>:</w:t>
      </w:r>
      <w:r w:rsidRPr="00624E3B">
        <w:rPr>
          <w:b/>
          <w:bCs/>
        </w:rPr>
        <w:t xml:space="preserve"> The UE needs to know if it is close to the TN but does not require the exact coverage area.</w:t>
      </w:r>
    </w:p>
    <w:p w14:paraId="500C62E2" w14:textId="77777777" w:rsidR="00CC70B4" w:rsidRPr="00624E3B" w:rsidRDefault="00CC70B4" w:rsidP="00D52BE2">
      <w:pPr>
        <w:jc w:val="both"/>
        <w:rPr>
          <w:b/>
          <w:bCs/>
        </w:rPr>
      </w:pPr>
      <w:r w:rsidRPr="00624E3B">
        <w:rPr>
          <w:b/>
          <w:bCs/>
        </w:rPr>
        <w:t>Proposal 1: RAN selects the information comprising the reference location and a distance threshold of TN neighbour cells to inform the UE on the TN coverage.</w:t>
      </w:r>
    </w:p>
    <w:p w14:paraId="53D62828" w14:textId="77777777" w:rsidR="00CC70B4" w:rsidRPr="00624E3B" w:rsidRDefault="00CC70B4" w:rsidP="00D52BE2">
      <w:pPr>
        <w:jc w:val="both"/>
        <w:rPr>
          <w:b/>
          <w:bCs/>
        </w:rPr>
      </w:pPr>
      <w:r w:rsidRPr="005F3F6F">
        <w:rPr>
          <w:b/>
          <w:bCs/>
        </w:rPr>
        <w:t>Observation 2</w:t>
      </w:r>
      <w:r w:rsidRPr="005F3F6F">
        <w:rPr>
          <w:b/>
        </w:rPr>
        <w:t>:</w:t>
      </w:r>
      <w:r w:rsidRPr="00624E3B">
        <w:rPr>
          <w:b/>
          <w:bCs/>
        </w:rPr>
        <w:t xml:space="preserve"> The TN coverage does rarely change, and it is the same for all UEs.</w:t>
      </w:r>
    </w:p>
    <w:p w14:paraId="33E3BCAF" w14:textId="77777777" w:rsidR="00CC70B4" w:rsidRPr="001C1BAC" w:rsidRDefault="00CC70B4" w:rsidP="00D52BE2">
      <w:pPr>
        <w:jc w:val="both"/>
        <w:rPr>
          <w:b/>
          <w:bCs/>
        </w:rPr>
      </w:pPr>
      <w:r w:rsidRPr="001C1BAC">
        <w:rPr>
          <w:b/>
          <w:bCs/>
        </w:rPr>
        <w:t>Observation 3: Providing TN’s coverage via broadcast signalling is not practical for EMC as the information needs to be referenced to Earth-fixed points.</w:t>
      </w:r>
    </w:p>
    <w:p w14:paraId="6203C969" w14:textId="77777777" w:rsidR="00CC70B4" w:rsidRPr="00624E3B" w:rsidRDefault="00CC70B4" w:rsidP="00D52BE2">
      <w:pPr>
        <w:jc w:val="both"/>
        <w:rPr>
          <w:b/>
          <w:bCs/>
        </w:rPr>
      </w:pPr>
      <w:r w:rsidRPr="00624E3B">
        <w:rPr>
          <w:b/>
          <w:bCs/>
        </w:rPr>
        <w:t xml:space="preserve">Proposal 2: Broadcast </w:t>
      </w:r>
      <w:r w:rsidRPr="00BF26C9">
        <w:rPr>
          <w:b/>
        </w:rPr>
        <w:t>signalling</w:t>
      </w:r>
      <w:r w:rsidRPr="00624E3B">
        <w:rPr>
          <w:b/>
          <w:bCs/>
        </w:rPr>
        <w:t xml:space="preserve"> is used to provide the information on the TN coverage area for UEs supporting NTN.</w:t>
      </w:r>
    </w:p>
    <w:p w14:paraId="149A6DE2" w14:textId="53E2ACDB" w:rsidR="00881DE2" w:rsidRDefault="00CC70B4" w:rsidP="00D52BE2">
      <w:pPr>
        <w:jc w:val="both"/>
        <w:rPr>
          <w:b/>
          <w:bCs/>
        </w:rPr>
      </w:pPr>
      <w:r w:rsidRPr="00624E3B">
        <w:rPr>
          <w:b/>
          <w:bCs/>
        </w:rPr>
        <w:t>Proposal 3:  UE-specific corrections to what has been delivered via broadcast signalling for TN coverage can be optionally provided via dedicated signalling.</w:t>
      </w:r>
    </w:p>
    <w:p w14:paraId="226677DD" w14:textId="77777777" w:rsidR="00CC70B4" w:rsidRPr="00624E3B" w:rsidRDefault="00CC70B4" w:rsidP="00D52BE2">
      <w:pPr>
        <w:jc w:val="both"/>
        <w:rPr>
          <w:b/>
          <w:bCs/>
          <w:lang w:val="en-US"/>
        </w:rPr>
      </w:pPr>
      <w:r w:rsidRPr="00624E3B">
        <w:rPr>
          <w:b/>
          <w:bCs/>
          <w:lang w:val="en-US"/>
        </w:rPr>
        <w:t xml:space="preserve">Observation 4: Explicit cell type indication (NTN versus TN) has been discussed during Rel-17 work. The option was not pursued. </w:t>
      </w:r>
    </w:p>
    <w:p w14:paraId="6C034220" w14:textId="77777777" w:rsidR="00CC70B4" w:rsidRPr="00624E3B" w:rsidRDefault="00CC70B4" w:rsidP="00D52BE2">
      <w:pPr>
        <w:jc w:val="both"/>
        <w:rPr>
          <w:b/>
          <w:bCs/>
          <w:lang w:val="en-US"/>
        </w:rPr>
      </w:pPr>
      <w:r w:rsidRPr="00624E3B">
        <w:rPr>
          <w:b/>
          <w:bCs/>
          <w:lang w:val="en-US"/>
        </w:rPr>
        <w:t xml:space="preserve">Observation 5: In SIB19 NTN-capable UE can be provided with up to 8 </w:t>
      </w:r>
      <w:proofErr w:type="spellStart"/>
      <w:r w:rsidRPr="00624E3B">
        <w:rPr>
          <w:b/>
          <w:bCs/>
          <w:lang w:val="en-US"/>
        </w:rPr>
        <w:t>neighbour</w:t>
      </w:r>
      <w:proofErr w:type="spellEnd"/>
      <w:r w:rsidRPr="00624E3B">
        <w:rPr>
          <w:b/>
          <w:bCs/>
          <w:lang w:val="en-US"/>
        </w:rPr>
        <w:t xml:space="preserve"> NTN cells. The information includes cell’s PCI and carrier frequency.</w:t>
      </w:r>
    </w:p>
    <w:p w14:paraId="18EF882B" w14:textId="77777777" w:rsidR="00CC70B4" w:rsidRPr="00624E3B" w:rsidRDefault="00CC70B4" w:rsidP="00D52BE2">
      <w:pPr>
        <w:jc w:val="both"/>
        <w:rPr>
          <w:b/>
          <w:bCs/>
          <w:lang w:val="en-US"/>
        </w:rPr>
      </w:pPr>
      <w:r w:rsidRPr="00624E3B">
        <w:rPr>
          <w:b/>
          <w:bCs/>
          <w:lang w:val="en-US"/>
        </w:rPr>
        <w:t xml:space="preserve">Observation 6:  Thanks to the information available in SIB2, SIB3, SIB4, SIB5 and SIB19 UE knows on which frequency carriers there are TN or NTN </w:t>
      </w:r>
      <w:proofErr w:type="spellStart"/>
      <w:r w:rsidRPr="00624E3B">
        <w:rPr>
          <w:b/>
          <w:bCs/>
          <w:lang w:val="en-US"/>
        </w:rPr>
        <w:t>neighbours</w:t>
      </w:r>
      <w:proofErr w:type="spellEnd"/>
      <w:r w:rsidRPr="00624E3B">
        <w:rPr>
          <w:b/>
          <w:bCs/>
          <w:lang w:val="en-US"/>
        </w:rPr>
        <w:t>.</w:t>
      </w:r>
    </w:p>
    <w:p w14:paraId="7A242CCC" w14:textId="1707EE90" w:rsidR="00CC70B4" w:rsidRDefault="00CC70B4" w:rsidP="00D52BE2">
      <w:pPr>
        <w:jc w:val="both"/>
        <w:rPr>
          <w:b/>
          <w:bCs/>
          <w:lang w:val="en-US"/>
        </w:rPr>
      </w:pPr>
      <w:r w:rsidRPr="00624E3B">
        <w:rPr>
          <w:b/>
          <w:bCs/>
          <w:lang w:val="en-US"/>
        </w:rPr>
        <w:t>Proposal 4: RAN2 does not pursue any solution for explicit indication to identify TN cells from inter-frequency list or inter-RAT frequency lists.</w:t>
      </w:r>
    </w:p>
    <w:p w14:paraId="6BE837BE" w14:textId="77777777" w:rsidR="00CC70B4" w:rsidRDefault="00CC70B4" w:rsidP="00D52BE2">
      <w:pPr>
        <w:jc w:val="both"/>
        <w:rPr>
          <w:b/>
          <w:bCs/>
        </w:rPr>
      </w:pPr>
      <w:r>
        <w:rPr>
          <w:b/>
          <w:bCs/>
        </w:rPr>
        <w:t xml:space="preserve">Observation 7: It is beneficial for the power saving purposes if the UE can measure for NTN or TN coverage only when relevant. </w:t>
      </w:r>
    </w:p>
    <w:p w14:paraId="6FE15105" w14:textId="50695A92" w:rsidR="00CC70B4" w:rsidRDefault="00CC70B4" w:rsidP="00D52BE2">
      <w:pPr>
        <w:jc w:val="both"/>
        <w:rPr>
          <w:b/>
        </w:rPr>
      </w:pPr>
      <w:r>
        <w:rPr>
          <w:b/>
        </w:rPr>
        <w:t xml:space="preserve">Proposal </w:t>
      </w:r>
      <w:r>
        <w:rPr>
          <w:b/>
          <w:bCs/>
        </w:rPr>
        <w:t>5</w:t>
      </w:r>
      <w:r>
        <w:rPr>
          <w:b/>
        </w:rPr>
        <w:t>: RAN2 is asked to re-consider the method of detecting the transmission energy or SIB presence</w:t>
      </w:r>
      <w:r>
        <w:rPr>
          <w:b/>
          <w:bCs/>
        </w:rPr>
        <w:t xml:space="preserve"> to find NTN UEs at the border of TN coverage</w:t>
      </w:r>
      <w:r>
        <w:rPr>
          <w:b/>
        </w:rPr>
        <w:t>.</w:t>
      </w:r>
    </w:p>
    <w:p w14:paraId="6FD024AE" w14:textId="77777777" w:rsidR="00CC70B4" w:rsidRDefault="00CC70B4" w:rsidP="00D52BE2">
      <w:pPr>
        <w:jc w:val="both"/>
        <w:rPr>
          <w:b/>
          <w:bCs/>
        </w:rPr>
      </w:pPr>
      <w:r>
        <w:rPr>
          <w:b/>
          <w:bCs/>
        </w:rPr>
        <w:t xml:space="preserve">Observation 8: Each NTN RAT Type e.g. NR(LEO), NR(GEO) etc. must be configured with non-overlapping Tracking Area (TA) or the CN Registration Area or simply Mobility Registration Area (MRA). </w:t>
      </w:r>
    </w:p>
    <w:p w14:paraId="1F1C17FB" w14:textId="77777777" w:rsidR="00CC70B4" w:rsidRDefault="00CC70B4" w:rsidP="00D52BE2">
      <w:pPr>
        <w:jc w:val="both"/>
        <w:rPr>
          <w:b/>
          <w:bCs/>
        </w:rPr>
      </w:pPr>
      <w:r>
        <w:rPr>
          <w:b/>
          <w:bCs/>
        </w:rPr>
        <w:t>Observation 9: For the NTN and TN overlapping scenarios, the TA or MRA of NTN and TN must be clearly defined without an overlap.</w:t>
      </w:r>
    </w:p>
    <w:p w14:paraId="5A16C4A2" w14:textId="77777777" w:rsidR="00CC70B4" w:rsidRDefault="00CC70B4" w:rsidP="00D52BE2">
      <w:pPr>
        <w:spacing w:after="0"/>
        <w:jc w:val="both"/>
        <w:rPr>
          <w:b/>
          <w:bCs/>
        </w:rPr>
      </w:pPr>
      <w:r>
        <w:rPr>
          <w:b/>
          <w:bCs/>
        </w:rPr>
        <w:t>Observation 10: It may be desirable to allow a UE in RRC_INACTIVE state to re-select from NTN cell to TN cell or vice-versa without a RRC state transition i.e., either to RRC_CONNECTED or to RRC_IDLE.</w:t>
      </w:r>
    </w:p>
    <w:p w14:paraId="368251FE" w14:textId="77777777" w:rsidR="00CC70B4" w:rsidRDefault="00CC70B4" w:rsidP="00D52BE2">
      <w:pPr>
        <w:spacing w:after="0"/>
        <w:jc w:val="both"/>
        <w:rPr>
          <w:b/>
          <w:bCs/>
        </w:rPr>
      </w:pPr>
    </w:p>
    <w:p w14:paraId="409060A1" w14:textId="77777777" w:rsidR="00CC70B4" w:rsidRDefault="00CC70B4" w:rsidP="00D52BE2">
      <w:pPr>
        <w:spacing w:after="0"/>
        <w:jc w:val="both"/>
        <w:rPr>
          <w:b/>
          <w:bCs/>
        </w:rPr>
      </w:pPr>
      <w:r>
        <w:rPr>
          <w:b/>
          <w:bCs/>
        </w:rPr>
        <w:t>Observation 11: Avoiding RRC_IDLE transition for a UE in RRC_INACTIVE state upon re-selection from NTN to TN or vice-versa shall save an unwanted RRC Re-establishment.</w:t>
      </w:r>
    </w:p>
    <w:p w14:paraId="2909DB86" w14:textId="77777777" w:rsidR="00CC70B4" w:rsidRDefault="00CC70B4" w:rsidP="00D52BE2">
      <w:pPr>
        <w:spacing w:after="0"/>
        <w:jc w:val="both"/>
        <w:rPr>
          <w:b/>
          <w:bCs/>
        </w:rPr>
      </w:pPr>
    </w:p>
    <w:p w14:paraId="74339CC1" w14:textId="6F29936E" w:rsidR="00CC70B4" w:rsidRDefault="00CC70B4" w:rsidP="00D52BE2">
      <w:pPr>
        <w:spacing w:after="0"/>
        <w:jc w:val="both"/>
        <w:rPr>
          <w:b/>
          <w:bCs/>
        </w:rPr>
      </w:pPr>
      <w:r>
        <w:rPr>
          <w:b/>
          <w:bCs/>
        </w:rPr>
        <w:t>Observation 12: When an RRC_INACTIVE state UE re-selects from NTN cell to TN cell or vice-versa, UE must trigger Mobility Registration Area Update procedure to inform the AMF that it has entered a new Tracking Area (TA) or Mobility Registration Area (MRA).</w:t>
      </w:r>
    </w:p>
    <w:p w14:paraId="7B118C8C" w14:textId="77777777" w:rsidR="00CC70B4" w:rsidRDefault="00CC70B4" w:rsidP="00D52BE2">
      <w:pPr>
        <w:spacing w:after="0"/>
        <w:jc w:val="both"/>
        <w:rPr>
          <w:b/>
          <w:bCs/>
        </w:rPr>
      </w:pPr>
    </w:p>
    <w:p w14:paraId="0AE10F10" w14:textId="32567DC5" w:rsidR="00CC70B4" w:rsidRPr="00B93113" w:rsidRDefault="00CC70B4" w:rsidP="00D52BE2">
      <w:pPr>
        <w:spacing w:after="0"/>
        <w:jc w:val="both"/>
        <w:rPr>
          <w:b/>
          <w:bCs/>
        </w:rPr>
      </w:pPr>
      <w:r>
        <w:rPr>
          <w:b/>
          <w:bCs/>
        </w:rPr>
        <w:t>Proposal 6: RAN2 to discuss how to enable an RRC_INACTIVE state UE to re-select from NTN cell to TN cell or vice-versa without an RRC state transition to RRC_CONNECTED or to RRC_IDLE, while preserving the PDU sessions and configured DRBs.</w:t>
      </w:r>
    </w:p>
    <w:p w14:paraId="64C1C004" w14:textId="292CBA63" w:rsidR="0025571F" w:rsidRPr="007438C6" w:rsidRDefault="0025571F" w:rsidP="00D52BE2">
      <w:pPr>
        <w:pStyle w:val="Heading1"/>
        <w:jc w:val="both"/>
      </w:pPr>
      <w:r w:rsidRPr="007438C6">
        <w:t>References</w:t>
      </w:r>
    </w:p>
    <w:p w14:paraId="0FE8865B" w14:textId="2D813CDB" w:rsidR="00A1621B" w:rsidRPr="00A1621B" w:rsidRDefault="00A1621B" w:rsidP="00D52BE2">
      <w:pPr>
        <w:pStyle w:val="ListParagraph"/>
        <w:numPr>
          <w:ilvl w:val="0"/>
          <w:numId w:val="8"/>
        </w:numPr>
        <w:jc w:val="both"/>
      </w:pPr>
      <w:r>
        <w:t>TS 23.501 stage 2 TS System Architecture for 5G system</w:t>
      </w:r>
      <w:r w:rsidRPr="00A1621B">
        <w:t>.</w:t>
      </w:r>
    </w:p>
    <w:p w14:paraId="2A184311" w14:textId="77777777" w:rsidR="00A1621B" w:rsidRDefault="00A1621B" w:rsidP="00D52BE2">
      <w:pPr>
        <w:pStyle w:val="ListParagraph"/>
        <w:numPr>
          <w:ilvl w:val="0"/>
          <w:numId w:val="8"/>
        </w:numPr>
        <w:jc w:val="both"/>
      </w:pPr>
      <w:r w:rsidRPr="00A1621B">
        <w:t xml:space="preserve">R2-2210860, Report of [AT119bis-e][117][NR NTN </w:t>
      </w:r>
      <w:proofErr w:type="spellStart"/>
      <w:r w:rsidRPr="00A1621B">
        <w:t>Enh</w:t>
      </w:r>
      <w:proofErr w:type="spellEnd"/>
      <w:r w:rsidRPr="00A1621B">
        <w:t>] cell reselection enhancements, Intel Corporation, RAN2#119bis-e, October 2022.</w:t>
      </w:r>
    </w:p>
    <w:p w14:paraId="20EE7DD2" w14:textId="00CD26BE" w:rsidR="0086340F" w:rsidRPr="007438C6" w:rsidRDefault="00145038" w:rsidP="00D52BE2">
      <w:pPr>
        <w:pStyle w:val="ListParagraph"/>
        <w:numPr>
          <w:ilvl w:val="0"/>
          <w:numId w:val="8"/>
        </w:numPr>
        <w:jc w:val="both"/>
      </w:pPr>
      <w:bookmarkStart w:id="0" w:name="_Ref127457551"/>
      <w:r w:rsidRPr="00145038">
        <w:t>R2-2211573</w:t>
      </w:r>
      <w:r w:rsidRPr="00145038">
        <w:tab/>
        <w:t>TN neighbour cell measurement relaxation</w:t>
      </w:r>
      <w:r w:rsidRPr="00145038">
        <w:tab/>
        <w:t>Qualcomm</w:t>
      </w:r>
      <w:r>
        <w:tab/>
      </w:r>
      <w:r w:rsidRPr="00A1621B">
        <w:t>RAN2#1</w:t>
      </w:r>
      <w:r>
        <w:t>20</w:t>
      </w:r>
      <w:r w:rsidRPr="00A1621B">
        <w:t xml:space="preserve">, </w:t>
      </w:r>
      <w:r>
        <w:t>November</w:t>
      </w:r>
      <w:r w:rsidRPr="00A1621B">
        <w:t xml:space="preserve"> 2022</w:t>
      </w:r>
      <w:bookmarkEnd w:id="0"/>
    </w:p>
    <w:sectPr w:rsidR="0086340F" w:rsidRPr="007438C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4AB92" w14:textId="77777777" w:rsidR="00E93198" w:rsidRDefault="00E93198">
      <w:r>
        <w:separator/>
      </w:r>
    </w:p>
  </w:endnote>
  <w:endnote w:type="continuationSeparator" w:id="0">
    <w:p w14:paraId="394C6BEB" w14:textId="77777777" w:rsidR="00E93198" w:rsidRDefault="00E93198">
      <w:r>
        <w:continuationSeparator/>
      </w:r>
    </w:p>
  </w:endnote>
  <w:endnote w:type="continuationNotice" w:id="1">
    <w:p w14:paraId="58EDF1DC" w14:textId="77777777" w:rsidR="00E93198" w:rsidRDefault="00E93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F92E0" w14:textId="77777777" w:rsidR="00E93198" w:rsidRDefault="00E93198">
      <w:r>
        <w:separator/>
      </w:r>
    </w:p>
  </w:footnote>
  <w:footnote w:type="continuationSeparator" w:id="0">
    <w:p w14:paraId="65C775B2" w14:textId="77777777" w:rsidR="00E93198" w:rsidRDefault="00E93198">
      <w:r>
        <w:continuationSeparator/>
      </w:r>
    </w:p>
  </w:footnote>
  <w:footnote w:type="continuationNotice" w:id="1">
    <w:p w14:paraId="4D6145C4" w14:textId="77777777" w:rsidR="00E93198" w:rsidRDefault="00E93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A7B63"/>
    <w:multiLevelType w:val="hybridMultilevel"/>
    <w:tmpl w:val="C3C037FC"/>
    <w:lvl w:ilvl="0" w:tplc="61625DA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D77175"/>
    <w:multiLevelType w:val="hybridMultilevel"/>
    <w:tmpl w:val="EE5AB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368BE"/>
    <w:multiLevelType w:val="hybridMultilevel"/>
    <w:tmpl w:val="136C5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65A0E6A"/>
    <w:multiLevelType w:val="hybridMultilevel"/>
    <w:tmpl w:val="2324774A"/>
    <w:lvl w:ilvl="0" w:tplc="0809000F">
      <w:start w:val="1"/>
      <w:numFmt w:val="decimal"/>
      <w:lvlText w:val="%1."/>
      <w:lvlJc w:val="left"/>
      <w:pPr>
        <w:ind w:left="720" w:hanging="360"/>
      </w:pPr>
    </w:lvl>
    <w:lvl w:ilvl="1" w:tplc="CE6C9F1A">
      <w:numFmt w:val="bullet"/>
      <w:lvlText w:val="•"/>
      <w:lvlJc w:val="left"/>
      <w:pPr>
        <w:ind w:left="1440" w:hanging="360"/>
      </w:pPr>
      <w:rPr>
        <w:rFonts w:ascii="Arial" w:eastAsia="MS Mincho" w:hAnsi="Arial" w:cs="Aria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D926A2F"/>
    <w:multiLevelType w:val="hybridMultilevel"/>
    <w:tmpl w:val="9FFE5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3200755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009060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3093532">
    <w:abstractNumId w:val="2"/>
  </w:num>
  <w:num w:numId="4" w16cid:durableId="1183285055">
    <w:abstractNumId w:val="9"/>
  </w:num>
  <w:num w:numId="5" w16cid:durableId="1648243130">
    <w:abstractNumId w:val="8"/>
  </w:num>
  <w:num w:numId="6" w16cid:durableId="1529101419">
    <w:abstractNumId w:val="11"/>
  </w:num>
  <w:num w:numId="7" w16cid:durableId="310453445">
    <w:abstractNumId w:val="12"/>
  </w:num>
  <w:num w:numId="8" w16cid:durableId="1090738087">
    <w:abstractNumId w:val="10"/>
  </w:num>
  <w:num w:numId="9" w16cid:durableId="2081755532">
    <w:abstractNumId w:val="18"/>
  </w:num>
  <w:num w:numId="10" w16cid:durableId="1456826289">
    <w:abstractNumId w:val="14"/>
  </w:num>
  <w:num w:numId="11" w16cid:durableId="1140463093">
    <w:abstractNumId w:val="16"/>
  </w:num>
  <w:num w:numId="12" w16cid:durableId="529994715">
    <w:abstractNumId w:val="6"/>
  </w:num>
  <w:num w:numId="13" w16cid:durableId="2109111605">
    <w:abstractNumId w:val="0"/>
  </w:num>
  <w:num w:numId="14" w16cid:durableId="971860244">
    <w:abstractNumId w:val="7"/>
  </w:num>
  <w:num w:numId="15" w16cid:durableId="1777674588">
    <w:abstractNumId w:val="13"/>
  </w:num>
  <w:num w:numId="16" w16cid:durableId="1560633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8113877">
    <w:abstractNumId w:val="15"/>
  </w:num>
  <w:num w:numId="18" w16cid:durableId="767039877">
    <w:abstractNumId w:val="7"/>
  </w:num>
  <w:num w:numId="19" w16cid:durableId="8621301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8412800">
    <w:abstractNumId w:val="5"/>
  </w:num>
  <w:num w:numId="21" w16cid:durableId="1126964880">
    <w:abstractNumId w:val="7"/>
  </w:num>
  <w:num w:numId="22" w16cid:durableId="1118259842">
    <w:abstractNumId w:val="1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tzQGIgNjEyNjAyUdpeDU4uLM/DyQAsNaAPXDdOAsAAAA"/>
  </w:docVars>
  <w:rsids>
    <w:rsidRoot w:val="000B7BCF"/>
    <w:rsid w:val="00004BEF"/>
    <w:rsid w:val="00004C3A"/>
    <w:rsid w:val="00006C10"/>
    <w:rsid w:val="00016557"/>
    <w:rsid w:val="0002140D"/>
    <w:rsid w:val="00023C40"/>
    <w:rsid w:val="00033397"/>
    <w:rsid w:val="00040095"/>
    <w:rsid w:val="00040CC5"/>
    <w:rsid w:val="00047934"/>
    <w:rsid w:val="00053FED"/>
    <w:rsid w:val="0005772F"/>
    <w:rsid w:val="00057E71"/>
    <w:rsid w:val="00063778"/>
    <w:rsid w:val="00065268"/>
    <w:rsid w:val="0006651B"/>
    <w:rsid w:val="00071C8F"/>
    <w:rsid w:val="00073C9C"/>
    <w:rsid w:val="0007434F"/>
    <w:rsid w:val="0007567A"/>
    <w:rsid w:val="00076412"/>
    <w:rsid w:val="00080512"/>
    <w:rsid w:val="00090468"/>
    <w:rsid w:val="00094568"/>
    <w:rsid w:val="000953B2"/>
    <w:rsid w:val="00097281"/>
    <w:rsid w:val="000A43A7"/>
    <w:rsid w:val="000B767F"/>
    <w:rsid w:val="000B7BCF"/>
    <w:rsid w:val="000C1AA1"/>
    <w:rsid w:val="000C522B"/>
    <w:rsid w:val="000C7C6E"/>
    <w:rsid w:val="000D29D3"/>
    <w:rsid w:val="000D58AB"/>
    <w:rsid w:val="000D6478"/>
    <w:rsid w:val="000E4A99"/>
    <w:rsid w:val="00103BF1"/>
    <w:rsid w:val="00104EFC"/>
    <w:rsid w:val="00107AD4"/>
    <w:rsid w:val="00110D70"/>
    <w:rsid w:val="001129A3"/>
    <w:rsid w:val="00112F1A"/>
    <w:rsid w:val="00117F27"/>
    <w:rsid w:val="00124030"/>
    <w:rsid w:val="001328B9"/>
    <w:rsid w:val="00133E0B"/>
    <w:rsid w:val="00134C68"/>
    <w:rsid w:val="001365C0"/>
    <w:rsid w:val="00136B9A"/>
    <w:rsid w:val="00145038"/>
    <w:rsid w:val="00145075"/>
    <w:rsid w:val="0014684F"/>
    <w:rsid w:val="00146A71"/>
    <w:rsid w:val="001601E6"/>
    <w:rsid w:val="00160A22"/>
    <w:rsid w:val="00163457"/>
    <w:rsid w:val="001667DA"/>
    <w:rsid w:val="001741A0"/>
    <w:rsid w:val="00175FA0"/>
    <w:rsid w:val="0017760F"/>
    <w:rsid w:val="0018063B"/>
    <w:rsid w:val="00194CD0"/>
    <w:rsid w:val="001B49C9"/>
    <w:rsid w:val="001B549A"/>
    <w:rsid w:val="001C1BAC"/>
    <w:rsid w:val="001C23F4"/>
    <w:rsid w:val="001C2733"/>
    <w:rsid w:val="001C4F79"/>
    <w:rsid w:val="001E5866"/>
    <w:rsid w:val="001E637B"/>
    <w:rsid w:val="001F168B"/>
    <w:rsid w:val="001F7831"/>
    <w:rsid w:val="00204045"/>
    <w:rsid w:val="0020712B"/>
    <w:rsid w:val="00207755"/>
    <w:rsid w:val="00211CDD"/>
    <w:rsid w:val="00213247"/>
    <w:rsid w:val="0022606D"/>
    <w:rsid w:val="00231728"/>
    <w:rsid w:val="00231C27"/>
    <w:rsid w:val="00232E62"/>
    <w:rsid w:val="0023444A"/>
    <w:rsid w:val="00234560"/>
    <w:rsid w:val="00242D59"/>
    <w:rsid w:val="0024423B"/>
    <w:rsid w:val="00244A05"/>
    <w:rsid w:val="00247BE1"/>
    <w:rsid w:val="00250404"/>
    <w:rsid w:val="002535C4"/>
    <w:rsid w:val="0025571F"/>
    <w:rsid w:val="002561FE"/>
    <w:rsid w:val="00256B74"/>
    <w:rsid w:val="002610D8"/>
    <w:rsid w:val="00271BAD"/>
    <w:rsid w:val="002747EC"/>
    <w:rsid w:val="002814B9"/>
    <w:rsid w:val="002855BF"/>
    <w:rsid w:val="00291595"/>
    <w:rsid w:val="00292DD1"/>
    <w:rsid w:val="00296161"/>
    <w:rsid w:val="00297217"/>
    <w:rsid w:val="002976ED"/>
    <w:rsid w:val="002A35AA"/>
    <w:rsid w:val="002B22AA"/>
    <w:rsid w:val="002B2988"/>
    <w:rsid w:val="002C3AA9"/>
    <w:rsid w:val="002C5966"/>
    <w:rsid w:val="002D5C14"/>
    <w:rsid w:val="002D7C51"/>
    <w:rsid w:val="002F0D22"/>
    <w:rsid w:val="002F2836"/>
    <w:rsid w:val="0030168D"/>
    <w:rsid w:val="00310F47"/>
    <w:rsid w:val="00311B17"/>
    <w:rsid w:val="003172DC"/>
    <w:rsid w:val="00320F70"/>
    <w:rsid w:val="00321933"/>
    <w:rsid w:val="00325AE3"/>
    <w:rsid w:val="00326069"/>
    <w:rsid w:val="0032749F"/>
    <w:rsid w:val="00332B83"/>
    <w:rsid w:val="00342481"/>
    <w:rsid w:val="00343325"/>
    <w:rsid w:val="00347760"/>
    <w:rsid w:val="003539FA"/>
    <w:rsid w:val="0035462D"/>
    <w:rsid w:val="003611CB"/>
    <w:rsid w:val="00363A1E"/>
    <w:rsid w:val="0036459E"/>
    <w:rsid w:val="00364B41"/>
    <w:rsid w:val="00375D3C"/>
    <w:rsid w:val="00383096"/>
    <w:rsid w:val="0039346C"/>
    <w:rsid w:val="003A41EF"/>
    <w:rsid w:val="003B026F"/>
    <w:rsid w:val="003B40AD"/>
    <w:rsid w:val="003C4E37"/>
    <w:rsid w:val="003C7C62"/>
    <w:rsid w:val="003D1188"/>
    <w:rsid w:val="003E0BBE"/>
    <w:rsid w:val="003E16BE"/>
    <w:rsid w:val="003F194C"/>
    <w:rsid w:val="003F327E"/>
    <w:rsid w:val="003F4E28"/>
    <w:rsid w:val="003F64AA"/>
    <w:rsid w:val="004006E8"/>
    <w:rsid w:val="0040071B"/>
    <w:rsid w:val="00401855"/>
    <w:rsid w:val="00413F54"/>
    <w:rsid w:val="00421079"/>
    <w:rsid w:val="004245E6"/>
    <w:rsid w:val="00431A6C"/>
    <w:rsid w:val="0043379D"/>
    <w:rsid w:val="00433EAD"/>
    <w:rsid w:val="004360BD"/>
    <w:rsid w:val="00436168"/>
    <w:rsid w:val="00436C06"/>
    <w:rsid w:val="00446C3A"/>
    <w:rsid w:val="00450122"/>
    <w:rsid w:val="0045267F"/>
    <w:rsid w:val="004526E2"/>
    <w:rsid w:val="00452F00"/>
    <w:rsid w:val="0046173B"/>
    <w:rsid w:val="00465587"/>
    <w:rsid w:val="0047288A"/>
    <w:rsid w:val="00474AEA"/>
    <w:rsid w:val="00477455"/>
    <w:rsid w:val="004918C4"/>
    <w:rsid w:val="00493ABD"/>
    <w:rsid w:val="004A1F7B"/>
    <w:rsid w:val="004B4D66"/>
    <w:rsid w:val="004C40AD"/>
    <w:rsid w:val="004C44D2"/>
    <w:rsid w:val="004D3578"/>
    <w:rsid w:val="004D380D"/>
    <w:rsid w:val="004D73D3"/>
    <w:rsid w:val="004E1DCF"/>
    <w:rsid w:val="004E213A"/>
    <w:rsid w:val="004F435D"/>
    <w:rsid w:val="004F4540"/>
    <w:rsid w:val="004F633B"/>
    <w:rsid w:val="004F73A7"/>
    <w:rsid w:val="005030B4"/>
    <w:rsid w:val="00503171"/>
    <w:rsid w:val="00503373"/>
    <w:rsid w:val="00506C28"/>
    <w:rsid w:val="0051184A"/>
    <w:rsid w:val="00511F84"/>
    <w:rsid w:val="00517AAB"/>
    <w:rsid w:val="00534DA0"/>
    <w:rsid w:val="00536E80"/>
    <w:rsid w:val="00540F5C"/>
    <w:rsid w:val="0054251D"/>
    <w:rsid w:val="00543E6C"/>
    <w:rsid w:val="00546A06"/>
    <w:rsid w:val="00547458"/>
    <w:rsid w:val="005536D2"/>
    <w:rsid w:val="0055549A"/>
    <w:rsid w:val="00555516"/>
    <w:rsid w:val="00565087"/>
    <w:rsid w:val="0056573F"/>
    <w:rsid w:val="00566276"/>
    <w:rsid w:val="00566794"/>
    <w:rsid w:val="00571279"/>
    <w:rsid w:val="0058045B"/>
    <w:rsid w:val="00583C8D"/>
    <w:rsid w:val="005A13AB"/>
    <w:rsid w:val="005A37F7"/>
    <w:rsid w:val="005A49C6"/>
    <w:rsid w:val="005B462B"/>
    <w:rsid w:val="005B6D9B"/>
    <w:rsid w:val="005C046A"/>
    <w:rsid w:val="005C2D97"/>
    <w:rsid w:val="005C766E"/>
    <w:rsid w:val="005C7CD5"/>
    <w:rsid w:val="005F3F6F"/>
    <w:rsid w:val="005F4216"/>
    <w:rsid w:val="00603937"/>
    <w:rsid w:val="006111A1"/>
    <w:rsid w:val="00611566"/>
    <w:rsid w:val="0062052B"/>
    <w:rsid w:val="006235AE"/>
    <w:rsid w:val="0062361F"/>
    <w:rsid w:val="0062687B"/>
    <w:rsid w:val="006312BE"/>
    <w:rsid w:val="00632A5C"/>
    <w:rsid w:val="006402B9"/>
    <w:rsid w:val="00643FD0"/>
    <w:rsid w:val="00645E5F"/>
    <w:rsid w:val="00646D99"/>
    <w:rsid w:val="0065044C"/>
    <w:rsid w:val="006513E9"/>
    <w:rsid w:val="0065389F"/>
    <w:rsid w:val="00656910"/>
    <w:rsid w:val="006574C0"/>
    <w:rsid w:val="006626C7"/>
    <w:rsid w:val="00664A20"/>
    <w:rsid w:val="00670F9F"/>
    <w:rsid w:val="00686109"/>
    <w:rsid w:val="00694C99"/>
    <w:rsid w:val="00696821"/>
    <w:rsid w:val="006A1948"/>
    <w:rsid w:val="006A5C9C"/>
    <w:rsid w:val="006A5F65"/>
    <w:rsid w:val="006C66D8"/>
    <w:rsid w:val="006D1A00"/>
    <w:rsid w:val="006D1E24"/>
    <w:rsid w:val="006D35DE"/>
    <w:rsid w:val="006D4527"/>
    <w:rsid w:val="006D6A69"/>
    <w:rsid w:val="006D7F59"/>
    <w:rsid w:val="006E1057"/>
    <w:rsid w:val="006E1417"/>
    <w:rsid w:val="006E181C"/>
    <w:rsid w:val="006E21CB"/>
    <w:rsid w:val="006F6A2C"/>
    <w:rsid w:val="00701AA0"/>
    <w:rsid w:val="00704BB4"/>
    <w:rsid w:val="007069DC"/>
    <w:rsid w:val="00710201"/>
    <w:rsid w:val="0071265B"/>
    <w:rsid w:val="0072073A"/>
    <w:rsid w:val="00725CE6"/>
    <w:rsid w:val="0072775B"/>
    <w:rsid w:val="00731201"/>
    <w:rsid w:val="00733379"/>
    <w:rsid w:val="007342B5"/>
    <w:rsid w:val="00734A5B"/>
    <w:rsid w:val="00737ABE"/>
    <w:rsid w:val="0074167F"/>
    <w:rsid w:val="007438C6"/>
    <w:rsid w:val="00744E76"/>
    <w:rsid w:val="00746B24"/>
    <w:rsid w:val="007534FE"/>
    <w:rsid w:val="00757D40"/>
    <w:rsid w:val="00764D3E"/>
    <w:rsid w:val="007662B5"/>
    <w:rsid w:val="00770E94"/>
    <w:rsid w:val="007751E1"/>
    <w:rsid w:val="0077623B"/>
    <w:rsid w:val="007771C2"/>
    <w:rsid w:val="00781F0F"/>
    <w:rsid w:val="00782F2B"/>
    <w:rsid w:val="00785F71"/>
    <w:rsid w:val="0078727C"/>
    <w:rsid w:val="0079049D"/>
    <w:rsid w:val="00793DC5"/>
    <w:rsid w:val="007956E4"/>
    <w:rsid w:val="00795D9B"/>
    <w:rsid w:val="00796823"/>
    <w:rsid w:val="00796CE1"/>
    <w:rsid w:val="007A0D43"/>
    <w:rsid w:val="007A1300"/>
    <w:rsid w:val="007A2E55"/>
    <w:rsid w:val="007B18D8"/>
    <w:rsid w:val="007B4230"/>
    <w:rsid w:val="007C095F"/>
    <w:rsid w:val="007C2DD0"/>
    <w:rsid w:val="007C6368"/>
    <w:rsid w:val="007D7A85"/>
    <w:rsid w:val="007E0AF7"/>
    <w:rsid w:val="007E54B4"/>
    <w:rsid w:val="007F2E08"/>
    <w:rsid w:val="00802493"/>
    <w:rsid w:val="008024FA"/>
    <w:rsid w:val="008028A4"/>
    <w:rsid w:val="00804CF3"/>
    <w:rsid w:val="00813245"/>
    <w:rsid w:val="00813931"/>
    <w:rsid w:val="00814028"/>
    <w:rsid w:val="008159EC"/>
    <w:rsid w:val="00840C07"/>
    <w:rsid w:val="00840DE0"/>
    <w:rsid w:val="00847CD0"/>
    <w:rsid w:val="008607A8"/>
    <w:rsid w:val="0086340F"/>
    <w:rsid w:val="0086354A"/>
    <w:rsid w:val="008704AA"/>
    <w:rsid w:val="00872925"/>
    <w:rsid w:val="008768CA"/>
    <w:rsid w:val="0087694C"/>
    <w:rsid w:val="00877EF9"/>
    <w:rsid w:val="00880559"/>
    <w:rsid w:val="00881DE2"/>
    <w:rsid w:val="0088318D"/>
    <w:rsid w:val="00896D90"/>
    <w:rsid w:val="008A41D5"/>
    <w:rsid w:val="008A460A"/>
    <w:rsid w:val="008B2F7D"/>
    <w:rsid w:val="008B5306"/>
    <w:rsid w:val="008B54E8"/>
    <w:rsid w:val="008B6881"/>
    <w:rsid w:val="008C2E2A"/>
    <w:rsid w:val="008C3057"/>
    <w:rsid w:val="008D1E78"/>
    <w:rsid w:val="008D2E4D"/>
    <w:rsid w:val="008D41AD"/>
    <w:rsid w:val="008E1229"/>
    <w:rsid w:val="008E22CD"/>
    <w:rsid w:val="008E710F"/>
    <w:rsid w:val="008F396F"/>
    <w:rsid w:val="008F3DCD"/>
    <w:rsid w:val="0090271F"/>
    <w:rsid w:val="00902DB9"/>
    <w:rsid w:val="0090466A"/>
    <w:rsid w:val="00913D66"/>
    <w:rsid w:val="00916BBE"/>
    <w:rsid w:val="00923655"/>
    <w:rsid w:val="00923DA9"/>
    <w:rsid w:val="00924DB8"/>
    <w:rsid w:val="00927FCD"/>
    <w:rsid w:val="009311AD"/>
    <w:rsid w:val="00931B9F"/>
    <w:rsid w:val="009339CB"/>
    <w:rsid w:val="00936071"/>
    <w:rsid w:val="009376CD"/>
    <w:rsid w:val="00940212"/>
    <w:rsid w:val="009402D0"/>
    <w:rsid w:val="009406F1"/>
    <w:rsid w:val="0094231E"/>
    <w:rsid w:val="00942AF8"/>
    <w:rsid w:val="00942EC2"/>
    <w:rsid w:val="0095051C"/>
    <w:rsid w:val="009520AC"/>
    <w:rsid w:val="00953FDA"/>
    <w:rsid w:val="009603BA"/>
    <w:rsid w:val="00961B32"/>
    <w:rsid w:val="00962509"/>
    <w:rsid w:val="00970DB3"/>
    <w:rsid w:val="009736E7"/>
    <w:rsid w:val="00974BB0"/>
    <w:rsid w:val="00975BCD"/>
    <w:rsid w:val="00987265"/>
    <w:rsid w:val="009928A9"/>
    <w:rsid w:val="009A0AF3"/>
    <w:rsid w:val="009A13C7"/>
    <w:rsid w:val="009A2A35"/>
    <w:rsid w:val="009A7A65"/>
    <w:rsid w:val="009B07CD"/>
    <w:rsid w:val="009B08FF"/>
    <w:rsid w:val="009B33D9"/>
    <w:rsid w:val="009B4617"/>
    <w:rsid w:val="009B4E1E"/>
    <w:rsid w:val="009C19E9"/>
    <w:rsid w:val="009C1FFB"/>
    <w:rsid w:val="009C395B"/>
    <w:rsid w:val="009C6D8C"/>
    <w:rsid w:val="009D4670"/>
    <w:rsid w:val="009D5930"/>
    <w:rsid w:val="009D74A6"/>
    <w:rsid w:val="009D7912"/>
    <w:rsid w:val="009E0E87"/>
    <w:rsid w:val="009E1568"/>
    <w:rsid w:val="009F2C67"/>
    <w:rsid w:val="00A02671"/>
    <w:rsid w:val="00A10F02"/>
    <w:rsid w:val="00A1621B"/>
    <w:rsid w:val="00A16FF4"/>
    <w:rsid w:val="00A17176"/>
    <w:rsid w:val="00A204CA"/>
    <w:rsid w:val="00A209D6"/>
    <w:rsid w:val="00A22738"/>
    <w:rsid w:val="00A27157"/>
    <w:rsid w:val="00A27F8A"/>
    <w:rsid w:val="00A30DCF"/>
    <w:rsid w:val="00A35CB7"/>
    <w:rsid w:val="00A35D86"/>
    <w:rsid w:val="00A36F5F"/>
    <w:rsid w:val="00A430EC"/>
    <w:rsid w:val="00A45AC0"/>
    <w:rsid w:val="00A51873"/>
    <w:rsid w:val="00A52843"/>
    <w:rsid w:val="00A535C2"/>
    <w:rsid w:val="00A53724"/>
    <w:rsid w:val="00A54B2B"/>
    <w:rsid w:val="00A562A7"/>
    <w:rsid w:val="00A63CA0"/>
    <w:rsid w:val="00A6697F"/>
    <w:rsid w:val="00A67F3F"/>
    <w:rsid w:val="00A703B6"/>
    <w:rsid w:val="00A710B3"/>
    <w:rsid w:val="00A756C7"/>
    <w:rsid w:val="00A82346"/>
    <w:rsid w:val="00A9671C"/>
    <w:rsid w:val="00AA09CB"/>
    <w:rsid w:val="00AA1553"/>
    <w:rsid w:val="00AA465B"/>
    <w:rsid w:val="00AB4ED6"/>
    <w:rsid w:val="00AC2887"/>
    <w:rsid w:val="00AD71E1"/>
    <w:rsid w:val="00AE3258"/>
    <w:rsid w:val="00AF72C6"/>
    <w:rsid w:val="00B03740"/>
    <w:rsid w:val="00B04692"/>
    <w:rsid w:val="00B05380"/>
    <w:rsid w:val="00B05962"/>
    <w:rsid w:val="00B15449"/>
    <w:rsid w:val="00B16C2F"/>
    <w:rsid w:val="00B24C5F"/>
    <w:rsid w:val="00B27303"/>
    <w:rsid w:val="00B34971"/>
    <w:rsid w:val="00B477B0"/>
    <w:rsid w:val="00B47FD1"/>
    <w:rsid w:val="00B516BB"/>
    <w:rsid w:val="00B544EC"/>
    <w:rsid w:val="00B709A0"/>
    <w:rsid w:val="00B70C6C"/>
    <w:rsid w:val="00B7538C"/>
    <w:rsid w:val="00B81A75"/>
    <w:rsid w:val="00B84DB2"/>
    <w:rsid w:val="00B93113"/>
    <w:rsid w:val="00B948A7"/>
    <w:rsid w:val="00B976AB"/>
    <w:rsid w:val="00BA1DEC"/>
    <w:rsid w:val="00BB125D"/>
    <w:rsid w:val="00BB602A"/>
    <w:rsid w:val="00BB65DA"/>
    <w:rsid w:val="00BC3555"/>
    <w:rsid w:val="00BD2A0F"/>
    <w:rsid w:val="00BE314F"/>
    <w:rsid w:val="00BF1755"/>
    <w:rsid w:val="00BF26C9"/>
    <w:rsid w:val="00BF3FD5"/>
    <w:rsid w:val="00BF74AD"/>
    <w:rsid w:val="00C12B51"/>
    <w:rsid w:val="00C1387B"/>
    <w:rsid w:val="00C15442"/>
    <w:rsid w:val="00C16633"/>
    <w:rsid w:val="00C24650"/>
    <w:rsid w:val="00C25465"/>
    <w:rsid w:val="00C3063B"/>
    <w:rsid w:val="00C308F6"/>
    <w:rsid w:val="00C33079"/>
    <w:rsid w:val="00C33BB4"/>
    <w:rsid w:val="00C5158F"/>
    <w:rsid w:val="00C55A12"/>
    <w:rsid w:val="00C6553E"/>
    <w:rsid w:val="00C663CB"/>
    <w:rsid w:val="00C66C50"/>
    <w:rsid w:val="00C67B58"/>
    <w:rsid w:val="00C75241"/>
    <w:rsid w:val="00C83A13"/>
    <w:rsid w:val="00C86F10"/>
    <w:rsid w:val="00C9068C"/>
    <w:rsid w:val="00C92967"/>
    <w:rsid w:val="00CA2397"/>
    <w:rsid w:val="00CA335B"/>
    <w:rsid w:val="00CA3D0C"/>
    <w:rsid w:val="00CA654B"/>
    <w:rsid w:val="00CA79D2"/>
    <w:rsid w:val="00CB49EC"/>
    <w:rsid w:val="00CB72B8"/>
    <w:rsid w:val="00CC3B37"/>
    <w:rsid w:val="00CC70B4"/>
    <w:rsid w:val="00CC717B"/>
    <w:rsid w:val="00CC7863"/>
    <w:rsid w:val="00CD0BA8"/>
    <w:rsid w:val="00CD4C7B"/>
    <w:rsid w:val="00CD58FE"/>
    <w:rsid w:val="00CD6F22"/>
    <w:rsid w:val="00CD7766"/>
    <w:rsid w:val="00CE2C24"/>
    <w:rsid w:val="00CF2A80"/>
    <w:rsid w:val="00CF2BF6"/>
    <w:rsid w:val="00D060B0"/>
    <w:rsid w:val="00D16DF4"/>
    <w:rsid w:val="00D21865"/>
    <w:rsid w:val="00D31CB6"/>
    <w:rsid w:val="00D334C7"/>
    <w:rsid w:val="00D33BE3"/>
    <w:rsid w:val="00D3792D"/>
    <w:rsid w:val="00D4052A"/>
    <w:rsid w:val="00D40AF6"/>
    <w:rsid w:val="00D41596"/>
    <w:rsid w:val="00D42A4B"/>
    <w:rsid w:val="00D52BE2"/>
    <w:rsid w:val="00D55A19"/>
    <w:rsid w:val="00D55E47"/>
    <w:rsid w:val="00D62E19"/>
    <w:rsid w:val="00D62FF4"/>
    <w:rsid w:val="00D67CD1"/>
    <w:rsid w:val="00D704A3"/>
    <w:rsid w:val="00D709DF"/>
    <w:rsid w:val="00D73010"/>
    <w:rsid w:val="00D738D6"/>
    <w:rsid w:val="00D80795"/>
    <w:rsid w:val="00D8454D"/>
    <w:rsid w:val="00D85034"/>
    <w:rsid w:val="00D854BE"/>
    <w:rsid w:val="00D87E00"/>
    <w:rsid w:val="00D9134D"/>
    <w:rsid w:val="00D91425"/>
    <w:rsid w:val="00D92833"/>
    <w:rsid w:val="00D92ABC"/>
    <w:rsid w:val="00D96D11"/>
    <w:rsid w:val="00DA3B55"/>
    <w:rsid w:val="00DA7A03"/>
    <w:rsid w:val="00DB0DB8"/>
    <w:rsid w:val="00DB1818"/>
    <w:rsid w:val="00DB1B0E"/>
    <w:rsid w:val="00DB1CE4"/>
    <w:rsid w:val="00DB60E3"/>
    <w:rsid w:val="00DC2039"/>
    <w:rsid w:val="00DC309B"/>
    <w:rsid w:val="00DC3C86"/>
    <w:rsid w:val="00DC4DA2"/>
    <w:rsid w:val="00DC5261"/>
    <w:rsid w:val="00DD2B07"/>
    <w:rsid w:val="00DD5271"/>
    <w:rsid w:val="00DE25D2"/>
    <w:rsid w:val="00DE2752"/>
    <w:rsid w:val="00DE57BF"/>
    <w:rsid w:val="00DE77BD"/>
    <w:rsid w:val="00DF7C20"/>
    <w:rsid w:val="00E011EB"/>
    <w:rsid w:val="00E028F6"/>
    <w:rsid w:val="00E06CCB"/>
    <w:rsid w:val="00E1535A"/>
    <w:rsid w:val="00E2036A"/>
    <w:rsid w:val="00E23684"/>
    <w:rsid w:val="00E365D9"/>
    <w:rsid w:val="00E41325"/>
    <w:rsid w:val="00E42E11"/>
    <w:rsid w:val="00E46C08"/>
    <w:rsid w:val="00E471CF"/>
    <w:rsid w:val="00E517CD"/>
    <w:rsid w:val="00E62835"/>
    <w:rsid w:val="00E70EA3"/>
    <w:rsid w:val="00E719C4"/>
    <w:rsid w:val="00E72289"/>
    <w:rsid w:val="00E77645"/>
    <w:rsid w:val="00E83697"/>
    <w:rsid w:val="00E83845"/>
    <w:rsid w:val="00E859B6"/>
    <w:rsid w:val="00E93198"/>
    <w:rsid w:val="00EA3342"/>
    <w:rsid w:val="00EA66C9"/>
    <w:rsid w:val="00EA6D34"/>
    <w:rsid w:val="00EB0747"/>
    <w:rsid w:val="00EB235B"/>
    <w:rsid w:val="00EB5D32"/>
    <w:rsid w:val="00EB7BD4"/>
    <w:rsid w:val="00EC23D8"/>
    <w:rsid w:val="00EC3920"/>
    <w:rsid w:val="00EC4A25"/>
    <w:rsid w:val="00EC5238"/>
    <w:rsid w:val="00EC6CF1"/>
    <w:rsid w:val="00ED35D9"/>
    <w:rsid w:val="00EE44AF"/>
    <w:rsid w:val="00EE4C97"/>
    <w:rsid w:val="00EF37A7"/>
    <w:rsid w:val="00EF612C"/>
    <w:rsid w:val="00F025A2"/>
    <w:rsid w:val="00F036E9"/>
    <w:rsid w:val="00F07388"/>
    <w:rsid w:val="00F179AF"/>
    <w:rsid w:val="00F17DEB"/>
    <w:rsid w:val="00F2026E"/>
    <w:rsid w:val="00F2210A"/>
    <w:rsid w:val="00F266F3"/>
    <w:rsid w:val="00F30B99"/>
    <w:rsid w:val="00F31372"/>
    <w:rsid w:val="00F34809"/>
    <w:rsid w:val="00F360FC"/>
    <w:rsid w:val="00F366BD"/>
    <w:rsid w:val="00F37743"/>
    <w:rsid w:val="00F37A8B"/>
    <w:rsid w:val="00F44B86"/>
    <w:rsid w:val="00F45F5D"/>
    <w:rsid w:val="00F503D8"/>
    <w:rsid w:val="00F52821"/>
    <w:rsid w:val="00F54A3D"/>
    <w:rsid w:val="00F54CB0"/>
    <w:rsid w:val="00F579CD"/>
    <w:rsid w:val="00F653B8"/>
    <w:rsid w:val="00F710EB"/>
    <w:rsid w:val="00F71B10"/>
    <w:rsid w:val="00F71B89"/>
    <w:rsid w:val="00F71D95"/>
    <w:rsid w:val="00F724D2"/>
    <w:rsid w:val="00F7353C"/>
    <w:rsid w:val="00F743E4"/>
    <w:rsid w:val="00F76F8F"/>
    <w:rsid w:val="00F84501"/>
    <w:rsid w:val="00F87257"/>
    <w:rsid w:val="00F907F2"/>
    <w:rsid w:val="00F941DF"/>
    <w:rsid w:val="00FA1266"/>
    <w:rsid w:val="00FA1B39"/>
    <w:rsid w:val="00FA26F3"/>
    <w:rsid w:val="00FA70B0"/>
    <w:rsid w:val="00FA7D0B"/>
    <w:rsid w:val="00FB06B1"/>
    <w:rsid w:val="00FB36FA"/>
    <w:rsid w:val="00FC1192"/>
    <w:rsid w:val="00FC230A"/>
    <w:rsid w:val="00FD125B"/>
    <w:rsid w:val="00FE084B"/>
    <w:rsid w:val="00FE0AD3"/>
    <w:rsid w:val="00FE106D"/>
    <w:rsid w:val="00FE251B"/>
    <w:rsid w:val="00FE4C50"/>
    <w:rsid w:val="00FF573D"/>
    <w:rsid w:val="1C10E52C"/>
    <w:rsid w:val="2E971AF9"/>
    <w:rsid w:val="3DFC2D92"/>
    <w:rsid w:val="4DCCB7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80CF27C-A9F2-4FF4-85A9-96C36093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25571F"/>
    <w:pPr>
      <w:ind w:left="720"/>
      <w:contextualSpacing/>
    </w:pPr>
  </w:style>
  <w:style w:type="table" w:styleId="TableGrid">
    <w:name w:val="Table Grid"/>
    <w:basedOn w:val="TableNormal"/>
    <w:uiPriority w:val="39"/>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customStyle="1" w:styleId="Heading1Char">
    <w:name w:val="Heading 1 Char"/>
    <w:basedOn w:val="DefaultParagraphFont"/>
    <w:link w:val="Heading1"/>
    <w:rsid w:val="00A51873"/>
    <w:rPr>
      <w:rFonts w:ascii="Arial" w:hAnsi="Arial"/>
      <w:sz w:val="3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A51873"/>
    <w:rPr>
      <w:lang w:eastAsia="en-US"/>
    </w:rPr>
  </w:style>
  <w:style w:type="paragraph" w:customStyle="1" w:styleId="Doc-comment">
    <w:name w:val="Doc-comment"/>
    <w:basedOn w:val="Normal"/>
    <w:next w:val="Normal"/>
    <w:qFormat/>
    <w:rsid w:val="006312BE"/>
    <w:pPr>
      <w:tabs>
        <w:tab w:val="left" w:pos="1622"/>
      </w:tabs>
      <w:spacing w:after="0"/>
      <w:ind w:left="1622" w:hanging="363"/>
    </w:pPr>
    <w:rPr>
      <w:rFonts w:ascii="Arial" w:eastAsia="MS Mincho" w:hAnsi="Arial"/>
      <w:i/>
      <w:szCs w:val="24"/>
      <w:lang w:eastAsia="en-GB"/>
    </w:rPr>
  </w:style>
  <w:style w:type="character" w:styleId="Mention">
    <w:name w:val="Mention"/>
    <w:basedOn w:val="DefaultParagraphFont"/>
    <w:uiPriority w:val="99"/>
    <w:unhideWhenUsed/>
    <w:rsid w:val="009F2C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81844">
      <w:bodyDiv w:val="1"/>
      <w:marLeft w:val="0"/>
      <w:marRight w:val="0"/>
      <w:marTop w:val="0"/>
      <w:marBottom w:val="0"/>
      <w:divBdr>
        <w:top w:val="none" w:sz="0" w:space="0" w:color="auto"/>
        <w:left w:val="none" w:sz="0" w:space="0" w:color="auto"/>
        <w:bottom w:val="none" w:sz="0" w:space="0" w:color="auto"/>
        <w:right w:val="none" w:sz="0" w:space="0" w:color="auto"/>
      </w:divBdr>
    </w:div>
    <w:div w:id="215049929">
      <w:bodyDiv w:val="1"/>
      <w:marLeft w:val="0"/>
      <w:marRight w:val="0"/>
      <w:marTop w:val="0"/>
      <w:marBottom w:val="0"/>
      <w:divBdr>
        <w:top w:val="none" w:sz="0" w:space="0" w:color="auto"/>
        <w:left w:val="none" w:sz="0" w:space="0" w:color="auto"/>
        <w:bottom w:val="none" w:sz="0" w:space="0" w:color="auto"/>
        <w:right w:val="none" w:sz="0" w:space="0" w:color="auto"/>
      </w:divBdr>
    </w:div>
    <w:div w:id="54055210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776830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6293924">
      <w:bodyDiv w:val="1"/>
      <w:marLeft w:val="0"/>
      <w:marRight w:val="0"/>
      <w:marTop w:val="0"/>
      <w:marBottom w:val="0"/>
      <w:divBdr>
        <w:top w:val="none" w:sz="0" w:space="0" w:color="auto"/>
        <w:left w:val="none" w:sz="0" w:space="0" w:color="auto"/>
        <w:bottom w:val="none" w:sz="0" w:space="0" w:color="auto"/>
        <w:right w:val="none" w:sz="0" w:space="0" w:color="auto"/>
      </w:divBdr>
    </w:div>
    <w:div w:id="1602685041">
      <w:bodyDiv w:val="1"/>
      <w:marLeft w:val="0"/>
      <w:marRight w:val="0"/>
      <w:marTop w:val="0"/>
      <w:marBottom w:val="0"/>
      <w:divBdr>
        <w:top w:val="none" w:sz="0" w:space="0" w:color="auto"/>
        <w:left w:val="none" w:sz="0" w:space="0" w:color="auto"/>
        <w:bottom w:val="none" w:sz="0" w:space="0" w:color="auto"/>
        <w:right w:val="none" w:sz="0" w:space="0" w:color="auto"/>
      </w:divBdr>
    </w:div>
    <w:div w:id="1612279377">
      <w:bodyDiv w:val="1"/>
      <w:marLeft w:val="0"/>
      <w:marRight w:val="0"/>
      <w:marTop w:val="0"/>
      <w:marBottom w:val="0"/>
      <w:divBdr>
        <w:top w:val="none" w:sz="0" w:space="0" w:color="auto"/>
        <w:left w:val="none" w:sz="0" w:space="0" w:color="auto"/>
        <w:bottom w:val="none" w:sz="0" w:space="0" w:color="auto"/>
        <w:right w:val="none" w:sz="0" w:space="0" w:color="auto"/>
      </w:divBdr>
    </w:div>
    <w:div w:id="1742486520">
      <w:bodyDiv w:val="1"/>
      <w:marLeft w:val="0"/>
      <w:marRight w:val="0"/>
      <w:marTop w:val="0"/>
      <w:marBottom w:val="0"/>
      <w:divBdr>
        <w:top w:val="none" w:sz="0" w:space="0" w:color="auto"/>
        <w:left w:val="none" w:sz="0" w:space="0" w:color="auto"/>
        <w:bottom w:val="none" w:sz="0" w:space="0" w:color="auto"/>
        <w:right w:val="none" w:sz="0" w:space="0" w:color="auto"/>
      </w:divBdr>
    </w:div>
    <w:div w:id="1860316493">
      <w:bodyDiv w:val="1"/>
      <w:marLeft w:val="0"/>
      <w:marRight w:val="0"/>
      <w:marTop w:val="0"/>
      <w:marBottom w:val="0"/>
      <w:divBdr>
        <w:top w:val="none" w:sz="0" w:space="0" w:color="auto"/>
        <w:left w:val="none" w:sz="0" w:space="0" w:color="auto"/>
        <w:bottom w:val="none" w:sz="0" w:space="0" w:color="auto"/>
        <w:right w:val="none" w:sz="0" w:space="0" w:color="auto"/>
      </w:divBdr>
    </w:div>
    <w:div w:id="1863592833">
      <w:bodyDiv w:val="1"/>
      <w:marLeft w:val="0"/>
      <w:marRight w:val="0"/>
      <w:marTop w:val="0"/>
      <w:marBottom w:val="0"/>
      <w:divBdr>
        <w:top w:val="none" w:sz="0" w:space="0" w:color="auto"/>
        <w:left w:val="none" w:sz="0" w:space="0" w:color="auto"/>
        <w:bottom w:val="none" w:sz="0" w:space="0" w:color="auto"/>
        <w:right w:val="none" w:sz="0" w:space="0" w:color="auto"/>
      </w:divBdr>
      <w:divsChild>
        <w:div w:id="643389016">
          <w:marLeft w:val="634"/>
          <w:marRight w:val="0"/>
          <w:marTop w:val="0"/>
          <w:marBottom w:val="80"/>
          <w:divBdr>
            <w:top w:val="none" w:sz="0" w:space="0" w:color="auto"/>
            <w:left w:val="none" w:sz="0" w:space="0" w:color="auto"/>
            <w:bottom w:val="none" w:sz="0" w:space="0" w:color="auto"/>
            <w:right w:val="none" w:sz="0" w:space="0" w:color="auto"/>
          </w:divBdr>
        </w:div>
        <w:div w:id="806699713">
          <w:marLeft w:val="634"/>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5AIRPNAIUNRU-859666464-13356</_dlc_DocId>
    <_dlc_DocIdUrl xmlns="71c5aaf6-e6ce-465b-b873-5148d2a4c105">
      <Url>https://nokia.sharepoint.com/sites/c5g/e2earch/_layouts/15/DocIdRedir.aspx?ID=5AIRPNAIUNRU-859666464-13356</Url>
      <Description>5AIRPNAIUNRU-859666464-13356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83f22d2f-d16e-4be6-ad4f-29fa0b067c3c"/>
    <ds:schemaRef ds:uri="http://purl.org/dc/terms/"/>
    <ds:schemaRef ds:uri="3b34c8f0-1ef5-4d1e-bb66-517ce7fe7356"/>
    <ds:schemaRef ds:uri="http://purl.org/dc/dcmitype/"/>
    <ds:schemaRef ds:uri="http://purl.org/dc/elements/1.1/"/>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1713AEB-8320-4103-897D-6006D068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1192</TotalTime>
  <Pages>1</Pages>
  <Words>2774</Words>
  <Characters>15816</Characters>
  <Application>Microsoft Office Word</Application>
  <DocSecurity>4</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461</cp:revision>
  <dcterms:created xsi:type="dcterms:W3CDTF">2016-08-13T07:53:00Z</dcterms:created>
  <dcterms:modified xsi:type="dcterms:W3CDTF">2023-02-17T16:49:00Z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dc803b8f-55f1-4b98-b56b-8d49d615bb69</vt:lpwstr>
  </property>
</Properties>
</file>